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C974" w14:textId="1D9058FC" w:rsidR="00AA1902" w:rsidRPr="00F502E9" w:rsidRDefault="00AA1902" w:rsidP="7CA065D3">
      <w:pPr>
        <w:rPr>
          <w:b/>
          <w:bCs/>
          <w:color w:val="C45911" w:themeColor="accent2" w:themeShade="BF"/>
          <w:sz w:val="32"/>
          <w:szCs w:val="32"/>
        </w:rPr>
      </w:pPr>
      <w:r w:rsidRPr="00F502E9">
        <w:rPr>
          <w:b/>
          <w:bCs/>
          <w:color w:val="C45911" w:themeColor="accent2" w:themeShade="BF"/>
          <w:sz w:val="32"/>
          <w:szCs w:val="32"/>
        </w:rPr>
        <w:t>Syllabus</w:t>
      </w:r>
      <w:r w:rsidR="00F77E6E" w:rsidRPr="00F502E9">
        <w:rPr>
          <w:b/>
          <w:bCs/>
          <w:color w:val="C45911" w:themeColor="accent2" w:themeShade="BF"/>
          <w:sz w:val="32"/>
          <w:szCs w:val="32"/>
        </w:rPr>
        <w:t xml:space="preserve">:  </w:t>
      </w:r>
      <w:r w:rsidR="2B98D018" w:rsidRPr="00F502E9">
        <w:rPr>
          <w:rFonts w:ascii="Calibri" w:eastAsia="Calibri" w:hAnsi="Calibri" w:cs="Calibri"/>
          <w:b/>
          <w:bCs/>
          <w:color w:val="C45911" w:themeColor="accent2" w:themeShade="BF"/>
          <w:sz w:val="32"/>
          <w:szCs w:val="32"/>
        </w:rPr>
        <w:t>Advanced Ecology: Theory and Computational Methods</w:t>
      </w:r>
      <w:r w:rsidR="2B98D018" w:rsidRPr="00F502E9">
        <w:rPr>
          <w:b/>
          <w:bCs/>
          <w:color w:val="C45911" w:themeColor="accent2" w:themeShade="BF"/>
          <w:sz w:val="32"/>
          <w:szCs w:val="32"/>
        </w:rPr>
        <w:t xml:space="preserve"> </w:t>
      </w:r>
    </w:p>
    <w:p w14:paraId="4A327164" w14:textId="124D88E5" w:rsidR="00AA1902" w:rsidRPr="00F502E9" w:rsidRDefault="4BA3BF01" w:rsidP="7CA065D3">
      <w:pPr>
        <w:rPr>
          <w:b/>
          <w:bCs/>
          <w:color w:val="C45911" w:themeColor="accent2" w:themeShade="BF"/>
          <w:sz w:val="32"/>
          <w:szCs w:val="32"/>
        </w:rPr>
      </w:pPr>
      <w:r w:rsidRPr="00F502E9">
        <w:rPr>
          <w:b/>
          <w:bCs/>
          <w:color w:val="C45911" w:themeColor="accent2" w:themeShade="BF"/>
          <w:sz w:val="32"/>
          <w:szCs w:val="32"/>
        </w:rPr>
        <w:t xml:space="preserve">ZOO 4926 and </w:t>
      </w:r>
      <w:r w:rsidR="008D719C" w:rsidRPr="00F502E9">
        <w:rPr>
          <w:b/>
          <w:bCs/>
          <w:color w:val="C45911" w:themeColor="accent2" w:themeShade="BF"/>
          <w:sz w:val="32"/>
          <w:szCs w:val="32"/>
        </w:rPr>
        <w:t>PCB 5046C</w:t>
      </w:r>
    </w:p>
    <w:p w14:paraId="1C2AE4A9" w14:textId="051044DA" w:rsidR="00AA1902" w:rsidRDefault="00AA1902" w:rsidP="7CA065D3"/>
    <w:p w14:paraId="116414A1" w14:textId="6117A429" w:rsidR="00AA1902" w:rsidRDefault="6EF4CD27" w:rsidP="7CA065D3">
      <w:r w:rsidRPr="7CA065D3">
        <w:t>This class is cross listed as both an upper-level undergraduate course (where it is listed as ZOO 4926 “Special Topics in Zoology") and as PCB 5046C (where it is listed as “Advanced Ecology”</w:t>
      </w:r>
      <w:r w:rsidR="00F77E6E">
        <w:t>)</w:t>
      </w:r>
    </w:p>
    <w:p w14:paraId="5135A7A3" w14:textId="77777777" w:rsidR="00F77E6E" w:rsidRDefault="00F77E6E" w:rsidP="7CA065D3"/>
    <w:p w14:paraId="1190B66A" w14:textId="16C1795D" w:rsidR="00AA1902" w:rsidRDefault="00AA1902" w:rsidP="00AA1902">
      <w:pPr>
        <w:rPr>
          <w:rFonts w:eastAsia="Times New Roman" w:cs="Times New Roman"/>
        </w:rPr>
      </w:pPr>
      <w:r w:rsidRPr="7CA065D3">
        <w:rPr>
          <w:rFonts w:eastAsia="Times New Roman" w:cs="Times New Roman"/>
          <w:b/>
          <w:bCs/>
        </w:rPr>
        <w:t>Instructor</w:t>
      </w:r>
      <w:r w:rsidR="34E0E5F2" w:rsidRPr="7CA065D3">
        <w:rPr>
          <w:rFonts w:eastAsia="Times New Roman" w:cs="Times New Roman"/>
          <w:b/>
          <w:bCs/>
        </w:rPr>
        <w:t>s</w:t>
      </w:r>
      <w:r w:rsidRPr="7CA065D3">
        <w:rPr>
          <w:rFonts w:eastAsia="Times New Roman" w:cs="Times New Roman"/>
        </w:rPr>
        <w:t>: Mathew Leibold</w:t>
      </w:r>
      <w:r w:rsidR="00C1442D" w:rsidRPr="7CA065D3">
        <w:rPr>
          <w:rFonts w:eastAsia="Times New Roman" w:cs="Times New Roman"/>
        </w:rPr>
        <w:t xml:space="preserve"> and </w:t>
      </w:r>
      <w:r w:rsidR="00EB2C98" w:rsidRPr="7CA065D3">
        <w:rPr>
          <w:rFonts w:eastAsia="Times New Roman" w:cs="Times New Roman"/>
        </w:rPr>
        <w:t xml:space="preserve">Francisca Javiera </w:t>
      </w:r>
      <w:r w:rsidR="00C1442D" w:rsidRPr="7CA065D3">
        <w:rPr>
          <w:rFonts w:eastAsia="Times New Roman" w:cs="Times New Roman"/>
        </w:rPr>
        <w:t>Rudolph</w:t>
      </w:r>
    </w:p>
    <w:p w14:paraId="3AEA4B21" w14:textId="29BD9DD9" w:rsidR="7CA065D3" w:rsidRDefault="7CA065D3" w:rsidP="7CA065D3">
      <w:pPr>
        <w:rPr>
          <w:rFonts w:eastAsia="Times New Roman" w:cs="Times New Roman"/>
          <w:b/>
          <w:bCs/>
        </w:rPr>
      </w:pPr>
    </w:p>
    <w:p w14:paraId="77B2C3CA" w14:textId="174CFAE8" w:rsidR="00AA1902" w:rsidRDefault="00AA1902" w:rsidP="00AA1902">
      <w:pPr>
        <w:rPr>
          <w:rFonts w:eastAsia="Times New Roman" w:cs="Times New Roman"/>
        </w:rPr>
      </w:pPr>
      <w:r w:rsidRPr="00D31F91">
        <w:rPr>
          <w:rFonts w:eastAsia="Times New Roman" w:cs="Times New Roman"/>
          <w:b/>
          <w:bCs/>
        </w:rPr>
        <w:t>Credit</w:t>
      </w:r>
      <w:r w:rsidRPr="00D31F91">
        <w:rPr>
          <w:rFonts w:eastAsia="Times New Roman" w:cs="Times New Roman"/>
        </w:rPr>
        <w:t xml:space="preserve"> </w:t>
      </w:r>
      <w:r w:rsidRPr="00D31F91">
        <w:rPr>
          <w:rFonts w:eastAsia="Times New Roman" w:cs="Times New Roman"/>
          <w:b/>
          <w:bCs/>
        </w:rPr>
        <w:t>hours</w:t>
      </w:r>
      <w:r w:rsidRPr="00D31F91">
        <w:rPr>
          <w:rFonts w:eastAsia="Times New Roman" w:cs="Times New Roman"/>
        </w:rPr>
        <w:t xml:space="preserve">: </w:t>
      </w:r>
      <w:r w:rsidR="00C1442D">
        <w:rPr>
          <w:rFonts w:eastAsia="Times New Roman" w:cs="Times New Roman"/>
        </w:rPr>
        <w:t>3</w:t>
      </w:r>
      <w:r w:rsidRPr="00D31F91">
        <w:rPr>
          <w:rFonts w:eastAsia="Times New Roman" w:cs="Times New Roman"/>
        </w:rPr>
        <w:t xml:space="preserve">, graded. </w:t>
      </w:r>
    </w:p>
    <w:p w14:paraId="200E20EF" w14:textId="72F1A5DA" w:rsidR="00AA1902" w:rsidRDefault="00AA1902" w:rsidP="00AA1902">
      <w:pPr>
        <w:rPr>
          <w:rFonts w:eastAsia="Times New Roman" w:cs="Times New Roman"/>
        </w:rPr>
      </w:pPr>
      <w:r w:rsidRPr="00D31F91">
        <w:rPr>
          <w:rFonts w:eastAsia="Times New Roman" w:cs="Times New Roman"/>
          <w:b/>
          <w:bCs/>
        </w:rPr>
        <w:t>Time and location</w:t>
      </w:r>
      <w:r w:rsidRPr="00D31F91">
        <w:rPr>
          <w:rFonts w:eastAsia="Times New Roman" w:cs="Times New Roman"/>
        </w:rPr>
        <w:t xml:space="preserve">: </w:t>
      </w:r>
      <w:r w:rsidR="002B4AFB">
        <w:rPr>
          <w:rFonts w:eastAsia="Times New Roman" w:cs="Times New Roman"/>
        </w:rPr>
        <w:t>521 Carr Hall, Tuesday 10:40-11:30, Thursday 10:40-12:35</w:t>
      </w:r>
    </w:p>
    <w:p w14:paraId="685B4C73" w14:textId="3F7C0684" w:rsidR="00AA1902" w:rsidRPr="00AA1902" w:rsidRDefault="00AA1902">
      <w:pPr>
        <w:rPr>
          <w:rFonts w:ascii="Helvetica" w:hAnsi="Helvetica" w:cs="Helvetica"/>
          <w:color w:val="616074"/>
        </w:rPr>
      </w:pPr>
      <w:r w:rsidRPr="7CA065D3">
        <w:rPr>
          <w:rFonts w:eastAsia="Times New Roman" w:cs="Times New Roman"/>
        </w:rPr>
        <w:t xml:space="preserve">Zoom participation link (if needed by prearrangement): </w:t>
      </w:r>
      <w:r w:rsidR="3E0E2222">
        <w:t>TBA</w:t>
      </w:r>
    </w:p>
    <w:p w14:paraId="63B99D44" w14:textId="77777777" w:rsidR="00AA1902" w:rsidRDefault="00AA1902"/>
    <w:p w14:paraId="6DB62B97" w14:textId="039639ED" w:rsidR="580E28CA" w:rsidRDefault="580E28CA" w:rsidP="7CA065D3">
      <w:pPr>
        <w:rPr>
          <w:b/>
          <w:bCs/>
          <w:sz w:val="28"/>
          <w:szCs w:val="28"/>
        </w:rPr>
      </w:pPr>
      <w:r w:rsidRPr="7CA065D3">
        <w:rPr>
          <w:b/>
          <w:bCs/>
          <w:sz w:val="28"/>
          <w:szCs w:val="28"/>
        </w:rPr>
        <w:t xml:space="preserve">Prerequisites: </w:t>
      </w:r>
    </w:p>
    <w:p w14:paraId="3DC26C36" w14:textId="596CCAB8" w:rsidR="580E28CA" w:rsidRDefault="580E28CA" w:rsidP="7CA065D3">
      <w:r w:rsidRPr="7CA065D3">
        <w:t>This class is aimed at students who are currently in, or plan to attend, graduate school in the general area of ecology, evolution and behavior.</w:t>
      </w:r>
      <w:r w:rsidR="65F7776F" w:rsidRPr="7CA065D3">
        <w:t xml:space="preserve">  It assumes that students have had previous exposure to the basic principles of ecology, such as is commonly taught in a general or introductory class in ecol</w:t>
      </w:r>
      <w:r w:rsidR="766922FB" w:rsidRPr="7CA065D3">
        <w:t xml:space="preserve">ogy (Intro Biology is not enough).  </w:t>
      </w:r>
      <w:r w:rsidR="465BCE08" w:rsidRPr="7CA065D3">
        <w:t>If you have any questions about the suitability of the course, given your background and interests, please contact either one of the instructors.</w:t>
      </w:r>
    </w:p>
    <w:p w14:paraId="4FC7982F" w14:textId="425C1372" w:rsidR="7CA065D3" w:rsidRDefault="7CA065D3" w:rsidP="7CA065D3"/>
    <w:p w14:paraId="4D8A3B9E" w14:textId="359480D2" w:rsidR="5D07D49A" w:rsidRDefault="5D07D49A" w:rsidP="7CA065D3">
      <w:pPr>
        <w:rPr>
          <w:rFonts w:ascii="Calibri" w:eastAsia="Calibri" w:hAnsi="Calibri" w:cs="Calibri"/>
          <w:color w:val="000000" w:themeColor="text1"/>
        </w:rPr>
      </w:pPr>
      <w:r w:rsidRPr="7CA065D3">
        <w:rPr>
          <w:rFonts w:ascii="Calibri" w:eastAsia="Calibri" w:hAnsi="Calibri" w:cs="Calibri"/>
          <w:color w:val="000000" w:themeColor="text1"/>
        </w:rPr>
        <w:t>We also assume you have a basic working knowledge of R. You should be comfortable with data manipulation, visualization, and basic statistical modeling</w:t>
      </w:r>
      <w:r w:rsidR="50D08BFA" w:rsidRPr="7CA065D3">
        <w:rPr>
          <w:rFonts w:ascii="Calibri" w:eastAsia="Calibri" w:hAnsi="Calibri" w:cs="Calibri"/>
          <w:color w:val="000000" w:themeColor="text1"/>
        </w:rPr>
        <w:t>. We wi</w:t>
      </w:r>
      <w:r w:rsidRPr="7CA065D3">
        <w:rPr>
          <w:rFonts w:ascii="Calibri" w:eastAsia="Calibri" w:hAnsi="Calibri" w:cs="Calibri"/>
          <w:color w:val="000000" w:themeColor="text1"/>
        </w:rPr>
        <w:t>ll build from there</w:t>
      </w:r>
      <w:r w:rsidR="0ADB92FD" w:rsidRPr="7CA065D3">
        <w:rPr>
          <w:rFonts w:ascii="Calibri" w:eastAsia="Calibri" w:hAnsi="Calibri" w:cs="Calibri"/>
          <w:color w:val="000000" w:themeColor="text1"/>
        </w:rPr>
        <w:t xml:space="preserve"> and </w:t>
      </w:r>
      <w:r w:rsidRPr="7CA065D3">
        <w:rPr>
          <w:rFonts w:ascii="Calibri" w:eastAsia="Calibri" w:hAnsi="Calibri" w:cs="Calibri"/>
          <w:color w:val="000000" w:themeColor="text1"/>
        </w:rPr>
        <w:t>will not teach R basics.  Th</w:t>
      </w:r>
      <w:r w:rsidR="2013EA4F" w:rsidRPr="7CA065D3">
        <w:rPr>
          <w:rFonts w:ascii="Calibri" w:eastAsia="Calibri" w:hAnsi="Calibri" w:cs="Calibri"/>
          <w:color w:val="000000" w:themeColor="text1"/>
        </w:rPr>
        <w:t>ere are numerous resources you can use to prepare</w:t>
      </w:r>
      <w:r w:rsidR="7209C7B2" w:rsidRPr="7CA065D3">
        <w:rPr>
          <w:rFonts w:ascii="Calibri" w:eastAsia="Calibri" w:hAnsi="Calibri" w:cs="Calibri"/>
          <w:color w:val="000000" w:themeColor="text1"/>
        </w:rPr>
        <w:t xml:space="preserve">, an example is </w:t>
      </w:r>
      <w:hyperlink r:id="rId5">
        <w:r w:rsidR="7209C7B2" w:rsidRPr="7CA065D3">
          <w:rPr>
            <w:rStyle w:val="Hyperlink"/>
            <w:rFonts w:ascii="Calibri" w:eastAsia="Calibri" w:hAnsi="Calibri" w:cs="Calibri"/>
          </w:rPr>
          <w:t>Data Analysis and Visualization in R for Ecologists: Summary and Setup</w:t>
        </w:r>
      </w:hyperlink>
      <w:r w:rsidR="2013EA4F" w:rsidRPr="7CA065D3">
        <w:rPr>
          <w:rFonts w:ascii="Calibri" w:eastAsia="Calibri" w:hAnsi="Calibri" w:cs="Calibri"/>
          <w:color w:val="000000" w:themeColor="text1"/>
        </w:rPr>
        <w:t>.</w:t>
      </w:r>
    </w:p>
    <w:p w14:paraId="2472FDBC" w14:textId="3137F15A" w:rsidR="7CA065D3" w:rsidRDefault="7CA065D3" w:rsidP="7CA065D3"/>
    <w:p w14:paraId="7A7525D8" w14:textId="3736E861" w:rsidR="60B2A399" w:rsidRDefault="60B2A399" w:rsidP="7CA065D3">
      <w:r w:rsidRPr="7CA065D3">
        <w:t xml:space="preserve">This class will be </w:t>
      </w:r>
      <w:proofErr w:type="gramStart"/>
      <w:r w:rsidRPr="7CA065D3">
        <w:t>fairly demanding</w:t>
      </w:r>
      <w:proofErr w:type="gramEnd"/>
      <w:r w:rsidRPr="7CA065D3">
        <w:t>.  It will require attention to the readings as preparation for the lecture materials and it will require substantial commitment in</w:t>
      </w:r>
      <w:r w:rsidR="4D9C6436" w:rsidRPr="7CA065D3">
        <w:t xml:space="preserve"> the lab part of the class.  We will assume that you are aware of this.  But we hope the </w:t>
      </w:r>
      <w:r w:rsidR="2775BCD5" w:rsidRPr="7CA065D3">
        <w:t>rewards will justify the efforts!</w:t>
      </w:r>
    </w:p>
    <w:p w14:paraId="3B1C894A" w14:textId="5E5CDA67" w:rsidR="7CA065D3" w:rsidRDefault="7CA065D3" w:rsidP="7CA065D3">
      <w:pPr>
        <w:rPr>
          <w:sz w:val="28"/>
          <w:szCs w:val="28"/>
        </w:rPr>
      </w:pPr>
    </w:p>
    <w:p w14:paraId="47A29D82" w14:textId="0CC16EDC" w:rsidR="00C1442D" w:rsidRDefault="00AA1902" w:rsidP="7CA065D3">
      <w:pPr>
        <w:rPr>
          <w:b/>
          <w:bCs/>
          <w:color w:val="92D050"/>
        </w:rPr>
      </w:pPr>
      <w:r w:rsidRPr="7CA065D3">
        <w:rPr>
          <w:b/>
          <w:bCs/>
          <w:sz w:val="28"/>
          <w:szCs w:val="28"/>
        </w:rPr>
        <w:t>Description:</w:t>
      </w:r>
      <w:r w:rsidRPr="7CA065D3">
        <w:rPr>
          <w:b/>
          <w:bCs/>
        </w:rPr>
        <w:t xml:space="preserve"> </w:t>
      </w:r>
    </w:p>
    <w:p w14:paraId="06D10D2A" w14:textId="24692F44" w:rsidR="00C1442D" w:rsidRDefault="188F093F" w:rsidP="7CA065D3">
      <w:pPr>
        <w:rPr>
          <w:rFonts w:ascii="Calibri" w:eastAsia="Calibri" w:hAnsi="Calibri" w:cs="Calibri"/>
          <w:color w:val="000000" w:themeColor="text1"/>
        </w:rPr>
      </w:pPr>
      <w:r w:rsidRPr="7CA065D3">
        <w:rPr>
          <w:rFonts w:ascii="Calibri" w:eastAsia="Calibri" w:hAnsi="Calibri" w:cs="Calibri"/>
          <w:color w:val="000000" w:themeColor="text1"/>
        </w:rPr>
        <w:t>Want to work with cutting-edge community ecology methods while deepening your theoretical foundation? This course combines classic and contemporary ecological theory with hands-on training in Joint Species Distribution Models (JSDMs), one of the most powerful and increasingly essential tools in modern ecology</w:t>
      </w:r>
      <w:r w:rsidR="4E817A31" w:rsidRPr="7CA065D3">
        <w:rPr>
          <w:rFonts w:ascii="Calibri" w:eastAsia="Calibri" w:hAnsi="Calibri" w:cs="Calibri"/>
          <w:color w:val="000000" w:themeColor="text1"/>
        </w:rPr>
        <w:t xml:space="preserve"> and other advanced computational tools to study ecology</w:t>
      </w:r>
      <w:r w:rsidRPr="7CA065D3">
        <w:rPr>
          <w:rFonts w:ascii="Calibri" w:eastAsia="Calibri" w:hAnsi="Calibri" w:cs="Calibri"/>
          <w:color w:val="000000" w:themeColor="text1"/>
        </w:rPr>
        <w:t>.</w:t>
      </w:r>
    </w:p>
    <w:p w14:paraId="32AAF5F7" w14:textId="7BE609BB" w:rsidR="00C1442D" w:rsidRDefault="00C1442D" w:rsidP="7CA065D3">
      <w:pPr>
        <w:rPr>
          <w:rFonts w:ascii="Calibri" w:eastAsia="Calibri" w:hAnsi="Calibri" w:cs="Calibri"/>
          <w:color w:val="000000" w:themeColor="text1"/>
        </w:rPr>
      </w:pPr>
    </w:p>
    <w:p w14:paraId="220A209B" w14:textId="722293EB" w:rsidR="00C1442D" w:rsidRDefault="00C1442D" w:rsidP="00C1442D">
      <w:r>
        <w:t>This</w:t>
      </w:r>
      <w:r w:rsidR="565B87D4">
        <w:t xml:space="preserve"> class </w:t>
      </w:r>
      <w:r>
        <w:t>aims to do two things. First</w:t>
      </w:r>
      <w:r w:rsidR="66F1BA69">
        <w:t>,</w:t>
      </w:r>
      <w:r>
        <w:t xml:space="preserve"> it aims to cover material that is not normally covered in a basic upper-level general ecology course that might be critical in helping students who are or who plan to go into graduate school in ecology.  It will emphasize novel critical approaches but will also review how to synthesize it with “the classics”.  Second</w:t>
      </w:r>
      <w:r w:rsidR="304A6507">
        <w:t>,</w:t>
      </w:r>
      <w:r>
        <w:t xml:space="preserve"> it will involve hands-on analysis of large-scale data using cutting edge computational methods to address synthetic approaches to community ecology.  This will involve both developing comput</w:t>
      </w:r>
      <w:r w:rsidR="007F79F9">
        <w:t>ational</w:t>
      </w:r>
      <w:r>
        <w:t xml:space="preserve"> literacy and open science methods that represent the future of work in this area.</w:t>
      </w:r>
    </w:p>
    <w:p w14:paraId="13205BA2" w14:textId="23CD6A58" w:rsidR="20E82555" w:rsidRDefault="20E82555" w:rsidP="7CA065D3">
      <w:p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lastRenderedPageBreak/>
        <w:t>Theoretical depth:</w:t>
      </w:r>
      <w:r w:rsidRPr="7CA065D3">
        <w:rPr>
          <w:rFonts w:ascii="Calibri" w:eastAsia="Calibri" w:hAnsi="Calibri" w:cs="Calibri"/>
          <w:color w:val="000000" w:themeColor="text1"/>
        </w:rPr>
        <w:t xml:space="preserve"> From behavioral ecology to metacommunities, we'll cover advanced topics often missing from general ecology courses. These are the concepts that matter when you're designing research or heading to grad school.</w:t>
      </w:r>
    </w:p>
    <w:p w14:paraId="17679F02" w14:textId="6BE581BA" w:rsidR="20E82555" w:rsidRDefault="20E82555" w:rsidP="7CA065D3">
      <w:p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Computational skills:</w:t>
      </w:r>
      <w:r w:rsidRPr="7CA065D3">
        <w:rPr>
          <w:rFonts w:ascii="Calibri" w:eastAsia="Calibri" w:hAnsi="Calibri" w:cs="Calibri"/>
          <w:color w:val="000000" w:themeColor="text1"/>
        </w:rPr>
        <w:t xml:space="preserve"> You'll gain practical experience with JSDMs</w:t>
      </w:r>
      <w:r w:rsidR="6FAC49EC" w:rsidRPr="7CA065D3">
        <w:rPr>
          <w:rFonts w:ascii="Calibri" w:eastAsia="Calibri" w:hAnsi="Calibri" w:cs="Calibri"/>
          <w:color w:val="000000" w:themeColor="text1"/>
        </w:rPr>
        <w:t xml:space="preserve"> and other methods</w:t>
      </w:r>
      <w:r w:rsidRPr="7CA065D3">
        <w:rPr>
          <w:rFonts w:ascii="Calibri" w:eastAsia="Calibri" w:hAnsi="Calibri" w:cs="Calibri"/>
          <w:color w:val="000000" w:themeColor="text1"/>
        </w:rPr>
        <w:t xml:space="preserve">, learning to analyze large-scale community data, interpret species associations, and explore ecological patterns at multiple scales. </w:t>
      </w:r>
      <w:r w:rsidR="2D0942E5" w:rsidRPr="7CA065D3">
        <w:rPr>
          <w:rFonts w:ascii="Calibri" w:eastAsia="Calibri" w:hAnsi="Calibri" w:cs="Calibri"/>
          <w:color w:val="000000" w:themeColor="text1"/>
        </w:rPr>
        <w:t xml:space="preserve"> </w:t>
      </w:r>
    </w:p>
    <w:p w14:paraId="18DA19BF" w14:textId="3D50F7A8" w:rsidR="30CAFE8F" w:rsidRDefault="30CAFE8F" w:rsidP="7CA065D3">
      <w:pPr>
        <w:spacing w:before="240" w:after="240"/>
        <w:rPr>
          <w:rFonts w:ascii="Calibri" w:eastAsia="Calibri" w:hAnsi="Calibri" w:cs="Calibri"/>
          <w:b/>
          <w:bCs/>
          <w:color w:val="000000" w:themeColor="text1"/>
        </w:rPr>
      </w:pPr>
      <w:r w:rsidRPr="7CA065D3">
        <w:rPr>
          <w:rFonts w:ascii="Calibri" w:eastAsia="Calibri" w:hAnsi="Calibri" w:cs="Calibri"/>
          <w:b/>
          <w:bCs/>
          <w:color w:val="000000" w:themeColor="text1"/>
        </w:rPr>
        <w:t xml:space="preserve">Our approach to computational training is built on the </w:t>
      </w:r>
      <w:r w:rsidR="2DCFA98D" w:rsidRPr="7CA065D3">
        <w:rPr>
          <w:rFonts w:ascii="Calibri" w:eastAsia="Calibri" w:hAnsi="Calibri" w:cs="Calibri"/>
          <w:b/>
          <w:bCs/>
          <w:color w:val="000000" w:themeColor="text1"/>
        </w:rPr>
        <w:t>framework</w:t>
      </w:r>
      <w:r w:rsidRPr="7CA065D3">
        <w:rPr>
          <w:rFonts w:ascii="Calibri" w:eastAsia="Calibri" w:hAnsi="Calibri" w:cs="Calibri"/>
          <w:b/>
          <w:bCs/>
          <w:color w:val="000000" w:themeColor="text1"/>
        </w:rPr>
        <w:t xml:space="preserve"> of</w:t>
      </w:r>
      <w:r w:rsidR="179A1EC6" w:rsidRPr="7CA065D3">
        <w:rPr>
          <w:rFonts w:ascii="Calibri" w:eastAsia="Calibri" w:hAnsi="Calibri" w:cs="Calibri"/>
          <w:b/>
          <w:bCs/>
          <w:color w:val="000000" w:themeColor="text1"/>
        </w:rPr>
        <w:t xml:space="preserve"> computational literac</w:t>
      </w:r>
      <w:r w:rsidR="7505A755" w:rsidRPr="7CA065D3">
        <w:rPr>
          <w:rFonts w:ascii="Calibri" w:eastAsia="Calibri" w:hAnsi="Calibri" w:cs="Calibri"/>
          <w:b/>
          <w:bCs/>
          <w:color w:val="000000" w:themeColor="text1"/>
        </w:rPr>
        <w:t>y.  This includes the following</w:t>
      </w:r>
      <w:r w:rsidR="75ACFD92" w:rsidRPr="7CA065D3">
        <w:rPr>
          <w:rFonts w:ascii="Calibri" w:eastAsia="Calibri" w:hAnsi="Calibri" w:cs="Calibri"/>
          <w:b/>
          <w:bCs/>
          <w:color w:val="000000" w:themeColor="text1"/>
        </w:rPr>
        <w:t>:</w:t>
      </w:r>
    </w:p>
    <w:p w14:paraId="6CBAA0ED" w14:textId="770AE9F2" w:rsidR="179A1EC6" w:rsidRDefault="179A1EC6" w:rsidP="7CA065D3">
      <w:pPr>
        <w:pStyle w:val="ListParagraph"/>
        <w:numPr>
          <w:ilvl w:val="0"/>
          <w:numId w:val="1"/>
        </w:num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Working with real, messy data at scale</w:t>
      </w:r>
      <w:r w:rsidR="7E9CFCC5" w:rsidRPr="7CA065D3">
        <w:rPr>
          <w:rFonts w:ascii="Calibri" w:eastAsia="Calibri" w:hAnsi="Calibri" w:cs="Calibri"/>
          <w:i/>
          <w:iCs/>
          <w:color w:val="000000" w:themeColor="text1"/>
        </w:rPr>
        <w:t>:</w:t>
      </w:r>
      <w:r w:rsidRPr="7CA065D3">
        <w:rPr>
          <w:rFonts w:ascii="Calibri" w:eastAsia="Calibri" w:hAnsi="Calibri" w:cs="Calibri"/>
          <w:color w:val="000000" w:themeColor="text1"/>
        </w:rPr>
        <w:t xml:space="preserve"> You'll learn to wrangle, explore, and visualize large-scale community datasets, like </w:t>
      </w:r>
      <w:r w:rsidR="36DE4567" w:rsidRPr="7CA065D3">
        <w:rPr>
          <w:rFonts w:ascii="Calibri" w:eastAsia="Calibri" w:hAnsi="Calibri" w:cs="Calibri"/>
          <w:color w:val="000000" w:themeColor="text1"/>
        </w:rPr>
        <w:t>t</w:t>
      </w:r>
      <w:r w:rsidRPr="7CA065D3">
        <w:rPr>
          <w:rFonts w:ascii="Calibri" w:eastAsia="Calibri" w:hAnsi="Calibri" w:cs="Calibri"/>
          <w:color w:val="000000" w:themeColor="text1"/>
        </w:rPr>
        <w:t>he kind you'll encounter in your own research. No toy datasets or pre-cleaned examples.</w:t>
      </w:r>
    </w:p>
    <w:p w14:paraId="31EDF035" w14:textId="0D9DC28A" w:rsidR="179A1EC6" w:rsidRDefault="179A1EC6" w:rsidP="7CA065D3">
      <w:pPr>
        <w:pStyle w:val="ListParagraph"/>
        <w:numPr>
          <w:ilvl w:val="0"/>
          <w:numId w:val="1"/>
        </w:num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Understanding modern statistical approaches</w:t>
      </w:r>
      <w:r w:rsidR="2CC22391" w:rsidRPr="7CA065D3">
        <w:rPr>
          <w:rFonts w:ascii="Calibri" w:eastAsia="Calibri" w:hAnsi="Calibri" w:cs="Calibri"/>
          <w:i/>
          <w:iCs/>
          <w:color w:val="000000" w:themeColor="text1"/>
        </w:rPr>
        <w:t xml:space="preserve">: </w:t>
      </w:r>
      <w:r w:rsidRPr="7CA065D3">
        <w:rPr>
          <w:rFonts w:ascii="Calibri" w:eastAsia="Calibri" w:hAnsi="Calibri" w:cs="Calibri"/>
          <w:color w:val="000000" w:themeColor="text1"/>
        </w:rPr>
        <w:t xml:space="preserve">JSDMs represent a paradigm shift from species-by-species modeling to joint modeling that accounts for species associations and environmental gradients simultaneously. You'll learn not just </w:t>
      </w:r>
      <w:r w:rsidRPr="7CA065D3">
        <w:rPr>
          <w:rFonts w:ascii="Calibri" w:eastAsia="Calibri" w:hAnsi="Calibri" w:cs="Calibri"/>
          <w:i/>
          <w:iCs/>
          <w:color w:val="000000" w:themeColor="text1"/>
        </w:rPr>
        <w:t>how</w:t>
      </w:r>
      <w:r w:rsidRPr="7CA065D3">
        <w:rPr>
          <w:rFonts w:ascii="Calibri" w:eastAsia="Calibri" w:hAnsi="Calibri" w:cs="Calibri"/>
          <w:color w:val="000000" w:themeColor="text1"/>
        </w:rPr>
        <w:t xml:space="preserve"> to fit these models, but </w:t>
      </w:r>
      <w:r w:rsidRPr="7CA065D3">
        <w:rPr>
          <w:rFonts w:ascii="Calibri" w:eastAsia="Calibri" w:hAnsi="Calibri" w:cs="Calibri"/>
          <w:i/>
          <w:iCs/>
          <w:color w:val="000000" w:themeColor="text1"/>
        </w:rPr>
        <w:t>when</w:t>
      </w:r>
      <w:r w:rsidRPr="7CA065D3">
        <w:rPr>
          <w:rFonts w:ascii="Calibri" w:eastAsia="Calibri" w:hAnsi="Calibri" w:cs="Calibri"/>
          <w:color w:val="000000" w:themeColor="text1"/>
        </w:rPr>
        <w:t xml:space="preserve"> to use them and </w:t>
      </w:r>
      <w:r w:rsidRPr="7CA065D3">
        <w:rPr>
          <w:rFonts w:ascii="Calibri" w:eastAsia="Calibri" w:hAnsi="Calibri" w:cs="Calibri"/>
          <w:i/>
          <w:iCs/>
          <w:color w:val="000000" w:themeColor="text1"/>
        </w:rPr>
        <w:t>how</w:t>
      </w:r>
      <w:r w:rsidRPr="7CA065D3">
        <w:rPr>
          <w:rFonts w:ascii="Calibri" w:eastAsia="Calibri" w:hAnsi="Calibri" w:cs="Calibri"/>
          <w:color w:val="000000" w:themeColor="text1"/>
        </w:rPr>
        <w:t xml:space="preserve"> to interpret what they're telling you about ecological processes.</w:t>
      </w:r>
    </w:p>
    <w:p w14:paraId="0D4ED7BA" w14:textId="69278F55" w:rsidR="179A1EC6" w:rsidRDefault="179A1EC6" w:rsidP="7CA065D3">
      <w:pPr>
        <w:pStyle w:val="ListParagraph"/>
        <w:numPr>
          <w:ilvl w:val="0"/>
          <w:numId w:val="1"/>
        </w:num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Reproducible workflows</w:t>
      </w:r>
      <w:r w:rsidR="2443209A" w:rsidRPr="7CA065D3">
        <w:rPr>
          <w:rFonts w:ascii="Calibri" w:eastAsia="Calibri" w:hAnsi="Calibri" w:cs="Calibri"/>
          <w:i/>
          <w:iCs/>
          <w:color w:val="000000" w:themeColor="text1"/>
        </w:rPr>
        <w:t>:</w:t>
      </w:r>
      <w:r w:rsidRPr="7CA065D3">
        <w:rPr>
          <w:rFonts w:ascii="Calibri" w:eastAsia="Calibri" w:hAnsi="Calibri" w:cs="Calibri"/>
          <w:color w:val="000000" w:themeColor="text1"/>
        </w:rPr>
        <w:t xml:space="preserve"> Every analysis will emphasize reproducible practices</w:t>
      </w:r>
      <w:r w:rsidR="539F8349" w:rsidRPr="7CA065D3">
        <w:rPr>
          <w:rFonts w:ascii="Calibri" w:eastAsia="Calibri" w:hAnsi="Calibri" w:cs="Calibri"/>
          <w:color w:val="000000" w:themeColor="text1"/>
        </w:rPr>
        <w:t xml:space="preserve"> such as</w:t>
      </w:r>
      <w:r w:rsidRPr="7CA065D3">
        <w:rPr>
          <w:rFonts w:ascii="Calibri" w:eastAsia="Calibri" w:hAnsi="Calibri" w:cs="Calibri"/>
          <w:color w:val="000000" w:themeColor="text1"/>
        </w:rPr>
        <w:t xml:space="preserve"> organized code, clear documentation, </w:t>
      </w:r>
      <w:r w:rsidR="4BE8E4E0" w:rsidRPr="7CA065D3">
        <w:rPr>
          <w:rFonts w:ascii="Calibri" w:eastAsia="Calibri" w:hAnsi="Calibri" w:cs="Calibri"/>
          <w:color w:val="000000" w:themeColor="text1"/>
        </w:rPr>
        <w:t xml:space="preserve">and </w:t>
      </w:r>
      <w:r w:rsidRPr="7CA065D3">
        <w:rPr>
          <w:rFonts w:ascii="Calibri" w:eastAsia="Calibri" w:hAnsi="Calibri" w:cs="Calibri"/>
          <w:color w:val="000000" w:themeColor="text1"/>
        </w:rPr>
        <w:t>version control concepts. These skills transfer directly to your thesis work and</w:t>
      </w:r>
      <w:r w:rsidR="0438624E" w:rsidRPr="7CA065D3">
        <w:rPr>
          <w:rFonts w:ascii="Calibri" w:eastAsia="Calibri" w:hAnsi="Calibri" w:cs="Calibri"/>
          <w:color w:val="000000" w:themeColor="text1"/>
        </w:rPr>
        <w:t xml:space="preserve"> future</w:t>
      </w:r>
      <w:r w:rsidRPr="7CA065D3">
        <w:rPr>
          <w:rFonts w:ascii="Calibri" w:eastAsia="Calibri" w:hAnsi="Calibri" w:cs="Calibri"/>
          <w:color w:val="000000" w:themeColor="text1"/>
        </w:rPr>
        <w:t xml:space="preserve"> publications.</w:t>
      </w:r>
    </w:p>
    <w:p w14:paraId="4338297F" w14:textId="058211DE" w:rsidR="179A1EC6" w:rsidRDefault="179A1EC6" w:rsidP="7CA065D3">
      <w:pPr>
        <w:pStyle w:val="ListParagraph"/>
        <w:numPr>
          <w:ilvl w:val="0"/>
          <w:numId w:val="1"/>
        </w:num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Troubleshooting and iteration</w:t>
      </w:r>
      <w:r w:rsidR="34F295BA" w:rsidRPr="7CA065D3">
        <w:rPr>
          <w:rFonts w:ascii="Calibri" w:eastAsia="Calibri" w:hAnsi="Calibri" w:cs="Calibri"/>
          <w:i/>
          <w:iCs/>
          <w:color w:val="000000" w:themeColor="text1"/>
        </w:rPr>
        <w:t>:</w:t>
      </w:r>
      <w:r w:rsidRPr="7CA065D3">
        <w:rPr>
          <w:rFonts w:ascii="Calibri" w:eastAsia="Calibri" w:hAnsi="Calibri" w:cs="Calibri"/>
          <w:color w:val="000000" w:themeColor="text1"/>
        </w:rPr>
        <w:t xml:space="preserve"> Real ecological analysis is rarely plug-and-play. You'll develop problem-solving skills: diagnosing convergence issues, interpreting warnings, adapting methods to your data's quirks.</w:t>
      </w:r>
    </w:p>
    <w:p w14:paraId="23392C87" w14:textId="0BA82175" w:rsidR="179A1EC6" w:rsidRDefault="179A1EC6" w:rsidP="7CA065D3">
      <w:pPr>
        <w:pStyle w:val="ListParagraph"/>
        <w:numPr>
          <w:ilvl w:val="0"/>
          <w:numId w:val="1"/>
        </w:numPr>
        <w:spacing w:before="240" w:after="240"/>
        <w:rPr>
          <w:rFonts w:ascii="Calibri" w:eastAsia="Calibri" w:hAnsi="Calibri" w:cs="Calibri"/>
          <w:color w:val="000000" w:themeColor="text1"/>
        </w:rPr>
      </w:pPr>
      <w:r w:rsidRPr="7CA065D3">
        <w:rPr>
          <w:rFonts w:ascii="Calibri" w:eastAsia="Calibri" w:hAnsi="Calibri" w:cs="Calibri"/>
          <w:i/>
          <w:iCs/>
          <w:color w:val="000000" w:themeColor="text1"/>
        </w:rPr>
        <w:t>From methods to ecological insight</w:t>
      </w:r>
      <w:r w:rsidR="563D83BB" w:rsidRPr="7CA065D3">
        <w:rPr>
          <w:rFonts w:ascii="Calibri" w:eastAsia="Calibri" w:hAnsi="Calibri" w:cs="Calibri"/>
          <w:i/>
          <w:iCs/>
          <w:color w:val="000000" w:themeColor="text1"/>
        </w:rPr>
        <w:t>:</w:t>
      </w:r>
      <w:r w:rsidRPr="7CA065D3">
        <w:rPr>
          <w:rFonts w:ascii="Calibri" w:eastAsia="Calibri" w:hAnsi="Calibri" w:cs="Calibri"/>
          <w:color w:val="000000" w:themeColor="text1"/>
        </w:rPr>
        <w:t xml:space="preserve"> The goal isn't just technical </w:t>
      </w:r>
      <w:proofErr w:type="gramStart"/>
      <w:r w:rsidRPr="7CA065D3">
        <w:rPr>
          <w:rFonts w:ascii="Calibri" w:eastAsia="Calibri" w:hAnsi="Calibri" w:cs="Calibri"/>
          <w:color w:val="000000" w:themeColor="text1"/>
        </w:rPr>
        <w:t>proficiency,</w:t>
      </w:r>
      <w:proofErr w:type="gramEnd"/>
      <w:r w:rsidRPr="7CA065D3">
        <w:rPr>
          <w:rFonts w:ascii="Calibri" w:eastAsia="Calibri" w:hAnsi="Calibri" w:cs="Calibri"/>
          <w:color w:val="000000" w:themeColor="text1"/>
        </w:rPr>
        <w:t xml:space="preserve"> it's learning to extract meaningful ecological understanding from complex models. You'll practice translating statistical output into ecological inference.</w:t>
      </w:r>
    </w:p>
    <w:p w14:paraId="39082DFA" w14:textId="571DD208" w:rsidR="00DC5F07" w:rsidRDefault="00C1442D" w:rsidP="00C1442D">
      <w:r w:rsidRPr="7CA065D3">
        <w:rPr>
          <w:b/>
          <w:bCs/>
        </w:rPr>
        <w:t>Structure:</w:t>
      </w:r>
      <w:r w:rsidR="00E149BE">
        <w:t xml:space="preserve"> The class meets twice a week.  The one</w:t>
      </w:r>
      <w:r w:rsidR="008D719C">
        <w:t>-</w:t>
      </w:r>
      <w:r w:rsidR="00E149BE">
        <w:t xml:space="preserve">hour </w:t>
      </w:r>
      <w:r w:rsidR="008D719C">
        <w:t xml:space="preserve">lecture-style </w:t>
      </w:r>
      <w:r w:rsidR="00E149BE">
        <w:t>Tuesday class will be focused on the conceptual part of the class, whereas the two</w:t>
      </w:r>
      <w:r w:rsidR="0078560F">
        <w:t>-</w:t>
      </w:r>
      <w:r w:rsidR="00E149BE">
        <w:t xml:space="preserve">hour Thursday </w:t>
      </w:r>
      <w:r w:rsidR="00966367">
        <w:t>is a hands-on analysis component focused on building computational literacy</w:t>
      </w:r>
      <w:r w:rsidR="15A6FAFC">
        <w:t>,</w:t>
      </w:r>
      <w:r w:rsidR="00FD2FD9">
        <w:t xml:space="preserve"> which </w:t>
      </w:r>
      <w:r w:rsidR="00DC5F07">
        <w:t xml:space="preserve">will involve </w:t>
      </w:r>
      <w:r w:rsidR="001D06F5">
        <w:t xml:space="preserve">novel datasets and methods that </w:t>
      </w:r>
      <w:r w:rsidR="00FD2FD9">
        <w:t xml:space="preserve">should </w:t>
      </w:r>
      <w:r w:rsidR="001D06F5">
        <w:t xml:space="preserve">result in publishable findings. </w:t>
      </w:r>
    </w:p>
    <w:p w14:paraId="3E710230" w14:textId="77777777" w:rsidR="00C062EF" w:rsidRDefault="00C062EF"/>
    <w:p w14:paraId="33578EBB" w14:textId="2ACA4A23" w:rsidR="00C1442D" w:rsidRDefault="00C062EF">
      <w:r w:rsidRPr="7CA065D3">
        <w:rPr>
          <w:b/>
          <w:bCs/>
        </w:rPr>
        <w:t>Assignments:</w:t>
      </w:r>
      <w:r>
        <w:t xml:space="preserve"> </w:t>
      </w:r>
      <w:r w:rsidR="00C1442D">
        <w:t>Grades will involve the following types of assignments</w:t>
      </w:r>
      <w:r w:rsidR="4E508354">
        <w:t xml:space="preserve"> (subject to change)</w:t>
      </w:r>
      <w:r w:rsidR="00C1442D">
        <w:t>.</w:t>
      </w:r>
      <w:r w:rsidR="008D719C">
        <w:t xml:space="preserve"> </w:t>
      </w:r>
    </w:p>
    <w:p w14:paraId="5F66B8C1" w14:textId="3F20D6A3" w:rsidR="00C062EF" w:rsidRDefault="00C1442D" w:rsidP="00C1442D">
      <w:pPr>
        <w:pStyle w:val="ListParagraph"/>
        <w:numPr>
          <w:ilvl w:val="0"/>
          <w:numId w:val="7"/>
        </w:numPr>
      </w:pPr>
      <w:r>
        <w:t xml:space="preserve">Occasional homework or quizzes in the </w:t>
      </w:r>
      <w:r w:rsidR="008D719C">
        <w:t xml:space="preserve">lecture part of the course </w:t>
      </w:r>
      <w:r w:rsidR="0A206F66">
        <w:t>(15% overall)</w:t>
      </w:r>
    </w:p>
    <w:p w14:paraId="727981DA" w14:textId="6B53CF9A" w:rsidR="008D719C" w:rsidRDefault="008D719C" w:rsidP="00C1442D">
      <w:pPr>
        <w:pStyle w:val="ListParagraph"/>
        <w:numPr>
          <w:ilvl w:val="0"/>
          <w:numId w:val="7"/>
        </w:numPr>
      </w:pPr>
      <w:r>
        <w:t>Two exams (midterm and final) in the lecture part of the course</w:t>
      </w:r>
      <w:r w:rsidR="22954901">
        <w:t xml:space="preserve"> </w:t>
      </w:r>
      <w:r w:rsidR="7A7AA71E">
        <w:t>(</w:t>
      </w:r>
      <w:r w:rsidR="22954901">
        <w:t>15% each</w:t>
      </w:r>
      <w:r w:rsidR="32D1F342">
        <w:t>)</w:t>
      </w:r>
    </w:p>
    <w:p w14:paraId="0808B682" w14:textId="7CB8909B" w:rsidR="008D719C" w:rsidRDefault="008D719C" w:rsidP="00C1442D">
      <w:pPr>
        <w:pStyle w:val="ListParagraph"/>
        <w:numPr>
          <w:ilvl w:val="0"/>
          <w:numId w:val="7"/>
        </w:numPr>
      </w:pPr>
      <w:r>
        <w:t>Research style paper resulting from the workshop project by students</w:t>
      </w:r>
      <w:r w:rsidR="2C9BC45B">
        <w:t xml:space="preserve"> </w:t>
      </w:r>
      <w:r w:rsidR="7C6B1C77">
        <w:t>(</w:t>
      </w:r>
      <w:r w:rsidR="2C9BC45B">
        <w:t>15%</w:t>
      </w:r>
      <w:r w:rsidR="4DC51C1C">
        <w:t>)</w:t>
      </w:r>
    </w:p>
    <w:p w14:paraId="705DDD17" w14:textId="1050A78F" w:rsidR="008D719C" w:rsidRDefault="008D719C" w:rsidP="00C1442D">
      <w:pPr>
        <w:pStyle w:val="ListParagraph"/>
        <w:numPr>
          <w:ilvl w:val="0"/>
          <w:numId w:val="7"/>
        </w:numPr>
      </w:pPr>
      <w:r>
        <w:t>Final ‘symposium’ presentations from the workshop projects</w:t>
      </w:r>
      <w:r w:rsidR="3FBFD8F8">
        <w:t xml:space="preserve"> </w:t>
      </w:r>
      <w:r w:rsidR="0E72FB0E">
        <w:t>(15</w:t>
      </w:r>
      <w:r w:rsidR="29BFA779">
        <w:t>%</w:t>
      </w:r>
      <w:r w:rsidR="0E72FB0E">
        <w:t>)</w:t>
      </w:r>
    </w:p>
    <w:p w14:paraId="326372A1" w14:textId="7977B907" w:rsidR="008D719C" w:rsidRDefault="008D719C" w:rsidP="00C1442D">
      <w:pPr>
        <w:pStyle w:val="ListParagraph"/>
        <w:numPr>
          <w:ilvl w:val="0"/>
          <w:numId w:val="7"/>
        </w:numPr>
      </w:pPr>
      <w:r>
        <w:t>Synthetic statement about the symposium activity</w:t>
      </w:r>
      <w:r w:rsidR="1CA0A129">
        <w:t xml:space="preserve"> (1</w:t>
      </w:r>
      <w:r w:rsidR="6F76F3CA">
        <w:t>5</w:t>
      </w:r>
      <w:r w:rsidR="1CA0A129">
        <w:t>%)</w:t>
      </w:r>
    </w:p>
    <w:p w14:paraId="6F75F75B" w14:textId="692C2387" w:rsidR="008D719C" w:rsidRPr="00C062EF" w:rsidRDefault="008D719C" w:rsidP="00C1442D">
      <w:pPr>
        <w:pStyle w:val="ListParagraph"/>
        <w:numPr>
          <w:ilvl w:val="0"/>
          <w:numId w:val="7"/>
        </w:numPr>
      </w:pPr>
      <w:r>
        <w:t>Participation points for the class in general</w:t>
      </w:r>
      <w:r w:rsidR="5CA7230E">
        <w:t xml:space="preserve"> (10%)</w:t>
      </w:r>
    </w:p>
    <w:p w14:paraId="615EB776" w14:textId="05E793C8" w:rsidR="00AA1902" w:rsidRDefault="00AA1902" w:rsidP="7CA065D3"/>
    <w:p w14:paraId="2BD29313" w14:textId="106FAA50" w:rsidR="00AA1902" w:rsidRPr="00A443EF" w:rsidRDefault="00AA1902" w:rsidP="00AA1902">
      <w:pPr>
        <w:rPr>
          <w:rFonts w:cs="Times New Roman"/>
        </w:rPr>
      </w:pPr>
      <w:r w:rsidRPr="00AA1902">
        <w:rPr>
          <w:rFonts w:cs="Times New Roman"/>
        </w:rPr>
        <w:t>Grading Scale</w:t>
      </w:r>
      <w:r>
        <w:rPr>
          <w:rFonts w:cs="Times New Roman"/>
        </w:rPr>
        <w:t xml:space="preserve">:  </w:t>
      </w:r>
      <w:r w:rsidRPr="00A443EF">
        <w:rPr>
          <w:rFonts w:cs="Times New Roman"/>
        </w:rPr>
        <w:t xml:space="preserve">A ≥ 93%; A− ≥ 90%; B+ ≥ 87%; B ≥ 83%; B− ≥ 80%; C+ ≥ 77%; C ≥ 73%; C− ≥ </w:t>
      </w:r>
      <w:proofErr w:type="gramStart"/>
      <w:r w:rsidRPr="00A443EF">
        <w:rPr>
          <w:rFonts w:cs="Times New Roman"/>
        </w:rPr>
        <w:t>70%;</w:t>
      </w:r>
      <w:proofErr w:type="gramEnd"/>
      <w:r w:rsidRPr="00A443EF">
        <w:rPr>
          <w:rFonts w:cs="Times New Roman"/>
        </w:rPr>
        <w:t xml:space="preserve"> </w:t>
      </w:r>
    </w:p>
    <w:p w14:paraId="4861098F" w14:textId="77777777" w:rsidR="00AA1902" w:rsidRDefault="00AA1902" w:rsidP="00AA1902">
      <w:pPr>
        <w:tabs>
          <w:tab w:val="right" w:pos="2880"/>
        </w:tabs>
        <w:spacing w:after="120"/>
        <w:rPr>
          <w:rFonts w:cs="Times New Roman"/>
        </w:rPr>
      </w:pPr>
      <w:r w:rsidRPr="7CA065D3">
        <w:rPr>
          <w:rFonts w:cs="Times New Roman"/>
        </w:rPr>
        <w:t>D+ ≥ 67%; D ≥ 60%; D− ≥ 57%; E &lt; 57%</w:t>
      </w:r>
    </w:p>
    <w:p w14:paraId="7430FD07" w14:textId="02171F81" w:rsidR="367BA72D" w:rsidRDefault="367BA72D" w:rsidP="7CA065D3">
      <w:pPr>
        <w:tabs>
          <w:tab w:val="right" w:pos="2880"/>
        </w:tabs>
        <w:spacing w:after="120"/>
        <w:rPr>
          <w:rFonts w:cs="Times New Roman"/>
          <w:b/>
          <w:bCs/>
          <w:sz w:val="28"/>
          <w:szCs w:val="28"/>
        </w:rPr>
      </w:pPr>
      <w:r w:rsidRPr="7CA065D3">
        <w:rPr>
          <w:rFonts w:cs="Times New Roman"/>
          <w:b/>
          <w:bCs/>
          <w:sz w:val="28"/>
          <w:szCs w:val="28"/>
        </w:rPr>
        <w:lastRenderedPageBreak/>
        <w:t>Tentative Schedule</w:t>
      </w:r>
    </w:p>
    <w:tbl>
      <w:tblPr>
        <w:tblStyle w:val="TableGridLight"/>
        <w:tblW w:w="0" w:type="auto"/>
        <w:jc w:val="center"/>
        <w:tblLook w:val="04A0" w:firstRow="1" w:lastRow="0" w:firstColumn="1" w:lastColumn="0" w:noHBand="0" w:noVBand="1"/>
      </w:tblPr>
      <w:tblGrid>
        <w:gridCol w:w="963"/>
        <w:gridCol w:w="2423"/>
        <w:gridCol w:w="1868"/>
        <w:gridCol w:w="1949"/>
        <w:gridCol w:w="2147"/>
      </w:tblGrid>
      <w:tr w:rsidR="00F77E6E" w14:paraId="570597B1" w14:textId="77777777" w:rsidTr="006518C3">
        <w:trPr>
          <w:trHeight w:val="300"/>
          <w:jc w:val="center"/>
        </w:trPr>
        <w:tc>
          <w:tcPr>
            <w:tcW w:w="988" w:type="dxa"/>
          </w:tcPr>
          <w:p w14:paraId="1FDE6FA4" w14:textId="77777777" w:rsidR="00F77E6E" w:rsidRDefault="00F77E6E" w:rsidP="7CA065D3">
            <w:pPr>
              <w:jc w:val="right"/>
              <w:rPr>
                <w:rFonts w:ascii="Aptos" w:eastAsia="Aptos" w:hAnsi="Aptos" w:cs="Aptos"/>
                <w:b/>
                <w:bCs/>
                <w:color w:val="000000" w:themeColor="text1"/>
                <w:sz w:val="28"/>
                <w:szCs w:val="28"/>
              </w:rPr>
            </w:pPr>
            <w:r w:rsidRPr="7CA065D3">
              <w:rPr>
                <w:rFonts w:ascii="Aptos" w:eastAsia="Aptos" w:hAnsi="Aptos" w:cs="Aptos"/>
                <w:b/>
                <w:bCs/>
                <w:color w:val="000000" w:themeColor="text1"/>
                <w:sz w:val="28"/>
                <w:szCs w:val="28"/>
              </w:rPr>
              <w:t>Week</w:t>
            </w:r>
          </w:p>
          <w:p w14:paraId="78E661D2" w14:textId="4B0B1EB7" w:rsidR="006518C3" w:rsidRDefault="006518C3" w:rsidP="7CA065D3">
            <w:pPr>
              <w:jc w:val="right"/>
              <w:rPr>
                <w:rFonts w:ascii="Aptos" w:eastAsia="Aptos" w:hAnsi="Aptos" w:cs="Aptos"/>
                <w:b/>
                <w:bCs/>
                <w:color w:val="000000" w:themeColor="text1"/>
                <w:sz w:val="28"/>
                <w:szCs w:val="28"/>
              </w:rPr>
            </w:pPr>
          </w:p>
        </w:tc>
        <w:tc>
          <w:tcPr>
            <w:tcW w:w="2659" w:type="dxa"/>
          </w:tcPr>
          <w:p w14:paraId="217E635C" w14:textId="58926FFC" w:rsidR="00F77E6E" w:rsidRDefault="00F77E6E" w:rsidP="7CA065D3">
            <w:pPr>
              <w:rPr>
                <w:rFonts w:ascii="Aptos" w:eastAsia="Aptos" w:hAnsi="Aptos" w:cs="Aptos"/>
                <w:color w:val="000000" w:themeColor="text1"/>
                <w:sz w:val="28"/>
                <w:szCs w:val="28"/>
              </w:rPr>
            </w:pPr>
            <w:r w:rsidRPr="7CA065D3">
              <w:rPr>
                <w:rFonts w:ascii="Aptos" w:eastAsia="Aptos" w:hAnsi="Aptos" w:cs="Aptos"/>
                <w:b/>
                <w:bCs/>
                <w:color w:val="000000" w:themeColor="text1"/>
                <w:sz w:val="28"/>
                <w:szCs w:val="28"/>
              </w:rPr>
              <w:t>Lecture topic</w:t>
            </w:r>
          </w:p>
        </w:tc>
        <w:tc>
          <w:tcPr>
            <w:tcW w:w="1308" w:type="dxa"/>
          </w:tcPr>
          <w:p w14:paraId="5803476D" w14:textId="000F80A6" w:rsidR="00F77E6E" w:rsidRPr="7CA065D3" w:rsidRDefault="00F77E6E" w:rsidP="7CA065D3">
            <w:pPr>
              <w:rPr>
                <w:rFonts w:ascii="Aptos" w:eastAsia="Aptos" w:hAnsi="Aptos" w:cs="Aptos"/>
                <w:b/>
                <w:bCs/>
                <w:color w:val="000000" w:themeColor="text1"/>
                <w:sz w:val="28"/>
                <w:szCs w:val="28"/>
              </w:rPr>
            </w:pPr>
            <w:r>
              <w:rPr>
                <w:rFonts w:ascii="Aptos" w:eastAsia="Aptos" w:hAnsi="Aptos" w:cs="Aptos"/>
                <w:b/>
                <w:bCs/>
                <w:color w:val="000000" w:themeColor="text1"/>
                <w:sz w:val="28"/>
                <w:szCs w:val="28"/>
              </w:rPr>
              <w:t>Assignments</w:t>
            </w:r>
          </w:p>
        </w:tc>
        <w:tc>
          <w:tcPr>
            <w:tcW w:w="2077" w:type="dxa"/>
          </w:tcPr>
          <w:p w14:paraId="2E96D681" w14:textId="5700E2A2" w:rsidR="00F77E6E" w:rsidRDefault="00F77E6E" w:rsidP="7CA065D3">
            <w:pPr>
              <w:rPr>
                <w:rFonts w:ascii="Aptos" w:eastAsia="Aptos" w:hAnsi="Aptos" w:cs="Aptos"/>
                <w:color w:val="000000" w:themeColor="text1"/>
                <w:sz w:val="28"/>
                <w:szCs w:val="28"/>
              </w:rPr>
            </w:pPr>
            <w:r w:rsidRPr="7CA065D3">
              <w:rPr>
                <w:rFonts w:ascii="Aptos" w:eastAsia="Aptos" w:hAnsi="Aptos" w:cs="Aptos"/>
                <w:b/>
                <w:bCs/>
                <w:color w:val="000000" w:themeColor="text1"/>
                <w:sz w:val="28"/>
                <w:szCs w:val="28"/>
              </w:rPr>
              <w:t>Lab topic</w:t>
            </w:r>
          </w:p>
        </w:tc>
        <w:tc>
          <w:tcPr>
            <w:tcW w:w="2312" w:type="dxa"/>
          </w:tcPr>
          <w:p w14:paraId="6D599A2D" w14:textId="7F2D9D04" w:rsidR="00F77E6E" w:rsidRDefault="00F77E6E" w:rsidP="7CA065D3">
            <w:pPr>
              <w:rPr>
                <w:rFonts w:ascii="Aptos" w:eastAsia="Aptos" w:hAnsi="Aptos" w:cs="Aptos"/>
                <w:b/>
                <w:bCs/>
                <w:color w:val="000000" w:themeColor="text1"/>
                <w:sz w:val="28"/>
                <w:szCs w:val="28"/>
              </w:rPr>
            </w:pPr>
            <w:r w:rsidRPr="7CA065D3">
              <w:rPr>
                <w:rFonts w:ascii="Aptos" w:eastAsia="Aptos" w:hAnsi="Aptos" w:cs="Aptos"/>
                <w:b/>
                <w:bCs/>
                <w:color w:val="000000" w:themeColor="text1"/>
                <w:sz w:val="28"/>
                <w:szCs w:val="28"/>
              </w:rPr>
              <w:t> Assignments</w:t>
            </w:r>
          </w:p>
        </w:tc>
      </w:tr>
      <w:tr w:rsidR="00F77E6E" w14:paraId="05ECF74C" w14:textId="77777777" w:rsidTr="006518C3">
        <w:trPr>
          <w:trHeight w:val="300"/>
          <w:jc w:val="center"/>
        </w:trPr>
        <w:tc>
          <w:tcPr>
            <w:tcW w:w="988" w:type="dxa"/>
          </w:tcPr>
          <w:p w14:paraId="7F7077CE" w14:textId="4B51142B"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w:t>
            </w:r>
          </w:p>
        </w:tc>
        <w:tc>
          <w:tcPr>
            <w:tcW w:w="2659" w:type="dxa"/>
          </w:tcPr>
          <w:p w14:paraId="0496FB3E" w14:textId="2AF93A72"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Intro</w:t>
            </w:r>
            <w:r>
              <w:rPr>
                <w:rFonts w:ascii="Aptos" w:eastAsia="Aptos" w:hAnsi="Aptos" w:cs="Aptos"/>
                <w:color w:val="000000" w:themeColor="text1"/>
              </w:rPr>
              <w:t xml:space="preserve"> and </w:t>
            </w:r>
            <w:r w:rsidR="006518C3">
              <w:rPr>
                <w:rFonts w:ascii="Aptos" w:eastAsia="Aptos" w:hAnsi="Aptos" w:cs="Aptos"/>
                <w:color w:val="000000" w:themeColor="text1"/>
              </w:rPr>
              <w:t>conceptual overview</w:t>
            </w:r>
            <w:r>
              <w:rPr>
                <w:rFonts w:ascii="Aptos" w:eastAsia="Aptos" w:hAnsi="Aptos" w:cs="Aptos"/>
                <w:color w:val="000000" w:themeColor="text1"/>
              </w:rPr>
              <w:t xml:space="preserve"> of the class</w:t>
            </w:r>
          </w:p>
        </w:tc>
        <w:tc>
          <w:tcPr>
            <w:tcW w:w="1308" w:type="dxa"/>
          </w:tcPr>
          <w:p w14:paraId="4C83A042" w14:textId="77777777" w:rsidR="00F77E6E" w:rsidRPr="7CA065D3" w:rsidRDefault="00F77E6E" w:rsidP="7CA065D3">
            <w:pPr>
              <w:rPr>
                <w:rFonts w:ascii="Aptos" w:eastAsia="Aptos" w:hAnsi="Aptos" w:cs="Aptos"/>
                <w:color w:val="000000" w:themeColor="text1"/>
              </w:rPr>
            </w:pPr>
          </w:p>
        </w:tc>
        <w:tc>
          <w:tcPr>
            <w:tcW w:w="2077" w:type="dxa"/>
          </w:tcPr>
          <w:p w14:paraId="42ADA06D" w14:textId="367B00CE"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 </w:t>
            </w:r>
            <w:r>
              <w:rPr>
                <w:rFonts w:ascii="Aptos" w:eastAsia="Aptos" w:hAnsi="Aptos" w:cs="Aptos"/>
                <w:color w:val="000000" w:themeColor="text1"/>
              </w:rPr>
              <w:t>JSDM intro</w:t>
            </w:r>
          </w:p>
          <w:p w14:paraId="29D03A8D" w14:textId="3A761FA4" w:rsidR="00F77E6E" w:rsidRDefault="00F77E6E" w:rsidP="7CA065D3">
            <w:pPr>
              <w:rPr>
                <w:rFonts w:ascii="Aptos" w:eastAsia="Aptos" w:hAnsi="Aptos" w:cs="Aptos"/>
                <w:color w:val="000000" w:themeColor="text1"/>
              </w:rPr>
            </w:pPr>
            <w:r>
              <w:rPr>
                <w:rFonts w:ascii="Aptos" w:eastAsia="Aptos" w:hAnsi="Aptos" w:cs="Aptos"/>
                <w:color w:val="000000" w:themeColor="text1"/>
              </w:rPr>
              <w:t>Intro to the data (EPA-National Lake Assessment data)</w:t>
            </w:r>
          </w:p>
          <w:p w14:paraId="054475B2" w14:textId="60A8985D" w:rsidR="00F77E6E" w:rsidRDefault="00F77E6E" w:rsidP="7CA065D3">
            <w:pPr>
              <w:rPr>
                <w:rFonts w:ascii="Aptos" w:eastAsia="Aptos" w:hAnsi="Aptos" w:cs="Aptos"/>
                <w:color w:val="000000" w:themeColor="text1"/>
              </w:rPr>
            </w:pPr>
          </w:p>
        </w:tc>
        <w:tc>
          <w:tcPr>
            <w:tcW w:w="2312" w:type="dxa"/>
          </w:tcPr>
          <w:p w14:paraId="12EFE18F" w14:textId="27DAAC63" w:rsidR="00F77E6E" w:rsidRPr="006518C3" w:rsidRDefault="00F77E6E" w:rsidP="7CA065D3">
            <w:pPr>
              <w:rPr>
                <w:rFonts w:ascii="Aptos" w:eastAsia="Aptos" w:hAnsi="Aptos" w:cs="Aptos"/>
                <w:color w:val="000000" w:themeColor="text1"/>
              </w:rPr>
            </w:pPr>
            <w:r w:rsidRPr="7CA065D3">
              <w:rPr>
                <w:rFonts w:ascii="Aptos" w:eastAsia="Aptos" w:hAnsi="Aptos" w:cs="Aptos"/>
                <w:color w:val="000000" w:themeColor="text1"/>
              </w:rPr>
              <w:t> </w:t>
            </w:r>
            <w:r>
              <w:t>Leibold et al. 2022</w:t>
            </w:r>
          </w:p>
        </w:tc>
      </w:tr>
      <w:tr w:rsidR="00F77E6E" w14:paraId="5601758F" w14:textId="77777777" w:rsidTr="006518C3">
        <w:trPr>
          <w:trHeight w:val="300"/>
          <w:jc w:val="center"/>
        </w:trPr>
        <w:tc>
          <w:tcPr>
            <w:tcW w:w="988" w:type="dxa"/>
          </w:tcPr>
          <w:p w14:paraId="49D690D1" w14:textId="7DE5A934"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2</w:t>
            </w:r>
          </w:p>
        </w:tc>
        <w:tc>
          <w:tcPr>
            <w:tcW w:w="2659" w:type="dxa"/>
          </w:tcPr>
          <w:p w14:paraId="6981DD1D" w14:textId="6BE6CEF2"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Competition and coexistence</w:t>
            </w:r>
          </w:p>
        </w:tc>
        <w:tc>
          <w:tcPr>
            <w:tcW w:w="1308" w:type="dxa"/>
          </w:tcPr>
          <w:p w14:paraId="750374EE" w14:textId="5E92E3B6" w:rsidR="00F77E6E" w:rsidRPr="7CA065D3" w:rsidRDefault="00EA77F2" w:rsidP="7CA065D3">
            <w:pPr>
              <w:rPr>
                <w:rFonts w:ascii="Calibri" w:eastAsia="Calibri" w:hAnsi="Calibri" w:cs="Calibri"/>
                <w:color w:val="000000" w:themeColor="text1"/>
              </w:rPr>
            </w:pPr>
            <w:r>
              <w:rPr>
                <w:rFonts w:ascii="Calibri" w:eastAsia="Calibri" w:hAnsi="Calibri" w:cs="Calibri"/>
                <w:color w:val="000000" w:themeColor="text1"/>
              </w:rPr>
              <w:t>Leibold and Frans 2025</w:t>
            </w:r>
          </w:p>
        </w:tc>
        <w:tc>
          <w:tcPr>
            <w:tcW w:w="2077" w:type="dxa"/>
          </w:tcPr>
          <w:p w14:paraId="0F48B66D"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Community data visualization, understanding multivariate ecological data</w:t>
            </w:r>
          </w:p>
          <w:p w14:paraId="7F7386E8" w14:textId="70A7EB86" w:rsidR="006518C3" w:rsidRDefault="006518C3" w:rsidP="7CA065D3">
            <w:pPr>
              <w:rPr>
                <w:rFonts w:ascii="Aptos" w:eastAsia="Aptos" w:hAnsi="Aptos" w:cs="Aptos"/>
                <w:color w:val="000000" w:themeColor="text1"/>
              </w:rPr>
            </w:pPr>
          </w:p>
        </w:tc>
        <w:tc>
          <w:tcPr>
            <w:tcW w:w="2312" w:type="dxa"/>
          </w:tcPr>
          <w:p w14:paraId="4904A5F5" w14:textId="63D914F1" w:rsidR="00F77E6E" w:rsidRDefault="00EA77F2" w:rsidP="7CA065D3">
            <w:pPr>
              <w:rPr>
                <w:rFonts w:ascii="Aptos" w:eastAsia="Aptos" w:hAnsi="Aptos" w:cs="Aptos"/>
                <w:color w:val="000000" w:themeColor="text1"/>
              </w:rPr>
            </w:pPr>
            <w:r>
              <w:rPr>
                <w:rFonts w:ascii="Aptos" w:eastAsia="Aptos" w:hAnsi="Aptos" w:cs="Aptos"/>
                <w:color w:val="000000" w:themeColor="text1"/>
              </w:rPr>
              <w:t>TBD</w:t>
            </w:r>
          </w:p>
        </w:tc>
      </w:tr>
      <w:tr w:rsidR="00F77E6E" w14:paraId="7590270B" w14:textId="77777777" w:rsidTr="006518C3">
        <w:trPr>
          <w:trHeight w:val="300"/>
          <w:jc w:val="center"/>
        </w:trPr>
        <w:tc>
          <w:tcPr>
            <w:tcW w:w="988" w:type="dxa"/>
          </w:tcPr>
          <w:p w14:paraId="55A2CD16" w14:textId="7EB9E117"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3</w:t>
            </w:r>
          </w:p>
        </w:tc>
        <w:tc>
          <w:tcPr>
            <w:tcW w:w="2659" w:type="dxa"/>
          </w:tcPr>
          <w:p w14:paraId="5E3286CF" w14:textId="4436B7C6" w:rsidR="00F77E6E" w:rsidRDefault="00F77E6E" w:rsidP="7CA065D3">
            <w:pPr>
              <w:rPr>
                <w:rFonts w:ascii="Aptos" w:eastAsia="Aptos" w:hAnsi="Aptos" w:cs="Aptos"/>
                <w:color w:val="000000" w:themeColor="text1"/>
              </w:rPr>
            </w:pPr>
            <w:r>
              <w:rPr>
                <w:rFonts w:ascii="Aptos" w:eastAsia="Aptos" w:hAnsi="Aptos" w:cs="Aptos"/>
                <w:color w:val="000000" w:themeColor="text1"/>
              </w:rPr>
              <w:t>Mechanistic models and c</w:t>
            </w:r>
            <w:r w:rsidRPr="7CA065D3">
              <w:rPr>
                <w:rFonts w:ascii="Aptos" w:eastAsia="Aptos" w:hAnsi="Aptos" w:cs="Aptos"/>
                <w:color w:val="000000" w:themeColor="text1"/>
              </w:rPr>
              <w:t>ontemporary niche approaches</w:t>
            </w:r>
          </w:p>
        </w:tc>
        <w:tc>
          <w:tcPr>
            <w:tcW w:w="1308" w:type="dxa"/>
          </w:tcPr>
          <w:p w14:paraId="29930DBC" w14:textId="5DADCF33" w:rsidR="00F77E6E" w:rsidRPr="7CA065D3" w:rsidRDefault="00EA77F2" w:rsidP="7CA065D3">
            <w:pPr>
              <w:rPr>
                <w:rFonts w:ascii="Calibri" w:eastAsia="Calibri" w:hAnsi="Calibri" w:cs="Calibri"/>
                <w:color w:val="000000" w:themeColor="text1"/>
              </w:rPr>
            </w:pPr>
            <w:r>
              <w:rPr>
                <w:rFonts w:ascii="Calibri" w:eastAsia="Calibri" w:hAnsi="Calibri" w:cs="Calibri"/>
                <w:color w:val="000000" w:themeColor="text1"/>
              </w:rPr>
              <w:t>TBD</w:t>
            </w:r>
          </w:p>
        </w:tc>
        <w:tc>
          <w:tcPr>
            <w:tcW w:w="2077" w:type="dxa"/>
          </w:tcPr>
          <w:p w14:paraId="3AD187CF"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Review of GLMs for single-species distribution models</w:t>
            </w:r>
          </w:p>
          <w:p w14:paraId="02A97F17" w14:textId="20A9B50A" w:rsidR="006518C3" w:rsidRDefault="006518C3" w:rsidP="7CA065D3">
            <w:pPr>
              <w:rPr>
                <w:rFonts w:ascii="Aptos" w:eastAsia="Aptos" w:hAnsi="Aptos" w:cs="Aptos"/>
                <w:color w:val="000000" w:themeColor="text1"/>
              </w:rPr>
            </w:pPr>
          </w:p>
        </w:tc>
        <w:tc>
          <w:tcPr>
            <w:tcW w:w="2312" w:type="dxa"/>
          </w:tcPr>
          <w:p w14:paraId="36CEE48F" w14:textId="42C6C706" w:rsidR="00F77E6E" w:rsidRDefault="00EA77F2" w:rsidP="7CA065D3">
            <w:pPr>
              <w:rPr>
                <w:rFonts w:ascii="Aptos" w:eastAsia="Aptos" w:hAnsi="Aptos" w:cs="Aptos"/>
                <w:color w:val="000000" w:themeColor="text1"/>
              </w:rPr>
            </w:pPr>
            <w:r>
              <w:rPr>
                <w:rFonts w:ascii="Aptos" w:eastAsia="Aptos" w:hAnsi="Aptos" w:cs="Aptos"/>
                <w:color w:val="000000" w:themeColor="text1"/>
              </w:rPr>
              <w:t>TBD</w:t>
            </w:r>
          </w:p>
        </w:tc>
      </w:tr>
      <w:tr w:rsidR="00F77E6E" w14:paraId="75D6B823" w14:textId="77777777" w:rsidTr="006518C3">
        <w:trPr>
          <w:trHeight w:val="300"/>
          <w:jc w:val="center"/>
        </w:trPr>
        <w:tc>
          <w:tcPr>
            <w:tcW w:w="988" w:type="dxa"/>
          </w:tcPr>
          <w:p w14:paraId="0B328BD7" w14:textId="4EAFE0BE"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4</w:t>
            </w:r>
          </w:p>
        </w:tc>
        <w:tc>
          <w:tcPr>
            <w:tcW w:w="2659" w:type="dxa"/>
          </w:tcPr>
          <w:p w14:paraId="3516F98F" w14:textId="17B7A4ED"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Metacommunities part a</w:t>
            </w:r>
          </w:p>
        </w:tc>
        <w:tc>
          <w:tcPr>
            <w:tcW w:w="1308" w:type="dxa"/>
          </w:tcPr>
          <w:p w14:paraId="77645976" w14:textId="600602F6" w:rsidR="00F77E6E" w:rsidRPr="7CA065D3" w:rsidRDefault="00EA77F2" w:rsidP="7CA065D3">
            <w:pPr>
              <w:rPr>
                <w:rFonts w:ascii="Calibri" w:eastAsia="Calibri" w:hAnsi="Calibri" w:cs="Calibri"/>
                <w:color w:val="000000" w:themeColor="text1"/>
              </w:rPr>
            </w:pPr>
            <w:r>
              <w:rPr>
                <w:rFonts w:ascii="Calibri" w:eastAsia="Calibri" w:hAnsi="Calibri" w:cs="Calibri"/>
                <w:color w:val="000000" w:themeColor="text1"/>
              </w:rPr>
              <w:t>Logue et al. 2008</w:t>
            </w:r>
          </w:p>
        </w:tc>
        <w:tc>
          <w:tcPr>
            <w:tcW w:w="2077" w:type="dxa"/>
          </w:tcPr>
          <w:p w14:paraId="160F8A41"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Why JSDMs? The problem with species-by-species models, conceptual intro to joint modeling</w:t>
            </w:r>
          </w:p>
          <w:p w14:paraId="2B2DDA79" w14:textId="0982BB9E" w:rsidR="006518C3" w:rsidRDefault="006518C3" w:rsidP="7CA065D3">
            <w:pPr>
              <w:rPr>
                <w:rFonts w:ascii="Aptos" w:eastAsia="Aptos" w:hAnsi="Aptos" w:cs="Aptos"/>
                <w:color w:val="000000" w:themeColor="text1"/>
              </w:rPr>
            </w:pPr>
          </w:p>
        </w:tc>
        <w:tc>
          <w:tcPr>
            <w:tcW w:w="2312" w:type="dxa"/>
          </w:tcPr>
          <w:p w14:paraId="1BC6BA90" w14:textId="47A1ADE5" w:rsidR="00F77E6E" w:rsidRDefault="00EA77F2"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1331C95D" w14:textId="77777777" w:rsidTr="006518C3">
        <w:trPr>
          <w:trHeight w:val="300"/>
          <w:jc w:val="center"/>
        </w:trPr>
        <w:tc>
          <w:tcPr>
            <w:tcW w:w="988" w:type="dxa"/>
          </w:tcPr>
          <w:p w14:paraId="1A9997FB" w14:textId="7B2F1670"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5</w:t>
            </w:r>
          </w:p>
        </w:tc>
        <w:tc>
          <w:tcPr>
            <w:tcW w:w="2659" w:type="dxa"/>
          </w:tcPr>
          <w:p w14:paraId="1E116ED2" w14:textId="38930E10"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Metacommunities part b including JSDMs</w:t>
            </w:r>
          </w:p>
        </w:tc>
        <w:tc>
          <w:tcPr>
            <w:tcW w:w="1308" w:type="dxa"/>
          </w:tcPr>
          <w:p w14:paraId="3DE495C1" w14:textId="6BA0FEE1" w:rsidR="00F77E6E" w:rsidRPr="7CA065D3" w:rsidRDefault="008B64DB" w:rsidP="7CA065D3">
            <w:pPr>
              <w:rPr>
                <w:rFonts w:ascii="Calibri" w:eastAsia="Calibri" w:hAnsi="Calibri" w:cs="Calibri"/>
                <w:color w:val="000000" w:themeColor="text1"/>
              </w:rPr>
            </w:pPr>
            <w:r>
              <w:rPr>
                <w:rFonts w:ascii="Calibri" w:eastAsia="Calibri" w:hAnsi="Calibri" w:cs="Calibri"/>
                <w:color w:val="000000" w:themeColor="text1"/>
              </w:rPr>
              <w:t>TBD</w:t>
            </w:r>
          </w:p>
        </w:tc>
        <w:tc>
          <w:tcPr>
            <w:tcW w:w="2077" w:type="dxa"/>
          </w:tcPr>
          <w:p w14:paraId="0AC48BFE"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Fitting your first JSDM (simple example, focus on interpretation)</w:t>
            </w:r>
          </w:p>
          <w:p w14:paraId="3A15DBA9" w14:textId="5FC9057E" w:rsidR="006518C3" w:rsidRDefault="006518C3" w:rsidP="7CA065D3">
            <w:pPr>
              <w:rPr>
                <w:rFonts w:ascii="Aptos" w:eastAsia="Aptos" w:hAnsi="Aptos" w:cs="Aptos"/>
                <w:color w:val="000000" w:themeColor="text1"/>
              </w:rPr>
            </w:pPr>
          </w:p>
        </w:tc>
        <w:tc>
          <w:tcPr>
            <w:tcW w:w="2312" w:type="dxa"/>
          </w:tcPr>
          <w:p w14:paraId="6477F5D8" w14:textId="48F33BB7"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55F60496" w14:textId="77777777" w:rsidTr="006518C3">
        <w:trPr>
          <w:trHeight w:val="300"/>
          <w:jc w:val="center"/>
        </w:trPr>
        <w:tc>
          <w:tcPr>
            <w:tcW w:w="988" w:type="dxa"/>
          </w:tcPr>
          <w:p w14:paraId="7C835E7B" w14:textId="6F66EEC1"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6</w:t>
            </w:r>
          </w:p>
        </w:tc>
        <w:tc>
          <w:tcPr>
            <w:tcW w:w="2659" w:type="dxa"/>
          </w:tcPr>
          <w:p w14:paraId="00DE7E6F" w14:textId="6D99E5FE"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Macroecology</w:t>
            </w:r>
          </w:p>
        </w:tc>
        <w:tc>
          <w:tcPr>
            <w:tcW w:w="1308" w:type="dxa"/>
          </w:tcPr>
          <w:p w14:paraId="31C853CE" w14:textId="3646B10D" w:rsidR="00F77E6E" w:rsidRPr="7CA065D3" w:rsidRDefault="008B64DB" w:rsidP="7CA065D3">
            <w:pPr>
              <w:rPr>
                <w:rFonts w:ascii="Calibri" w:eastAsia="Calibri" w:hAnsi="Calibri" w:cs="Calibri"/>
                <w:color w:val="000000" w:themeColor="text1"/>
              </w:rPr>
            </w:pPr>
            <w:r>
              <w:rPr>
                <w:rFonts w:ascii="Calibri" w:eastAsia="Calibri" w:hAnsi="Calibri" w:cs="Calibri"/>
                <w:color w:val="000000" w:themeColor="text1"/>
              </w:rPr>
              <w:t>TBD</w:t>
            </w:r>
          </w:p>
        </w:tc>
        <w:tc>
          <w:tcPr>
            <w:tcW w:w="2077" w:type="dxa"/>
          </w:tcPr>
          <w:p w14:paraId="4AAD43B7"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Understanding JSDM outputs (residual correlations, environmental responses, predictions)</w:t>
            </w:r>
          </w:p>
          <w:p w14:paraId="2B7CE503" w14:textId="0551E4EF" w:rsidR="006518C3" w:rsidRDefault="006518C3" w:rsidP="7CA065D3">
            <w:pPr>
              <w:rPr>
                <w:rFonts w:ascii="Aptos" w:eastAsia="Aptos" w:hAnsi="Aptos" w:cs="Aptos"/>
                <w:color w:val="000000" w:themeColor="text1"/>
              </w:rPr>
            </w:pPr>
          </w:p>
        </w:tc>
        <w:tc>
          <w:tcPr>
            <w:tcW w:w="2312" w:type="dxa"/>
          </w:tcPr>
          <w:p w14:paraId="4A15EC1B" w14:textId="7BB6E07C"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749837FE" w14:textId="77777777" w:rsidTr="006518C3">
        <w:trPr>
          <w:trHeight w:val="300"/>
          <w:jc w:val="center"/>
        </w:trPr>
        <w:tc>
          <w:tcPr>
            <w:tcW w:w="988" w:type="dxa"/>
          </w:tcPr>
          <w:p w14:paraId="4B6FD0CB" w14:textId="0D2E1C42"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lastRenderedPageBreak/>
              <w:t>7</w:t>
            </w:r>
          </w:p>
        </w:tc>
        <w:tc>
          <w:tcPr>
            <w:tcW w:w="2659" w:type="dxa"/>
          </w:tcPr>
          <w:p w14:paraId="3DD72862" w14:textId="03EAB3FF"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Food webs and ecosystems</w:t>
            </w:r>
          </w:p>
        </w:tc>
        <w:tc>
          <w:tcPr>
            <w:tcW w:w="1308" w:type="dxa"/>
          </w:tcPr>
          <w:p w14:paraId="5F44E8E4" w14:textId="31CEFAA5" w:rsidR="00F77E6E" w:rsidRPr="7CA065D3" w:rsidRDefault="008B64DB" w:rsidP="7CA065D3">
            <w:pPr>
              <w:rPr>
                <w:rFonts w:ascii="Calibri" w:eastAsia="Calibri" w:hAnsi="Calibri" w:cs="Calibri"/>
                <w:color w:val="000000" w:themeColor="text1"/>
              </w:rPr>
            </w:pPr>
            <w:r>
              <w:rPr>
                <w:rFonts w:ascii="Calibri" w:eastAsia="Calibri" w:hAnsi="Calibri" w:cs="Calibri"/>
                <w:color w:val="000000" w:themeColor="text1"/>
              </w:rPr>
              <w:t>TBD</w:t>
            </w:r>
          </w:p>
        </w:tc>
        <w:tc>
          <w:tcPr>
            <w:tcW w:w="2077" w:type="dxa"/>
          </w:tcPr>
          <w:p w14:paraId="7A54BED7"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Spatial JSDMs and when/why spatial structure matters</w:t>
            </w:r>
          </w:p>
          <w:p w14:paraId="28AC11ED" w14:textId="6D43DB67" w:rsidR="006518C3" w:rsidRDefault="006518C3" w:rsidP="7CA065D3">
            <w:pPr>
              <w:rPr>
                <w:rFonts w:ascii="Aptos" w:eastAsia="Aptos" w:hAnsi="Aptos" w:cs="Aptos"/>
                <w:color w:val="000000" w:themeColor="text1"/>
              </w:rPr>
            </w:pPr>
          </w:p>
        </w:tc>
        <w:tc>
          <w:tcPr>
            <w:tcW w:w="2312" w:type="dxa"/>
          </w:tcPr>
          <w:p w14:paraId="5807DB41" w14:textId="7AF4041E"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56EE49E4" w14:textId="77777777" w:rsidTr="006518C3">
        <w:trPr>
          <w:trHeight w:val="300"/>
          <w:jc w:val="center"/>
        </w:trPr>
        <w:tc>
          <w:tcPr>
            <w:tcW w:w="988" w:type="dxa"/>
          </w:tcPr>
          <w:p w14:paraId="6DFB136C" w14:textId="1653F6A1"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8</w:t>
            </w:r>
          </w:p>
        </w:tc>
        <w:tc>
          <w:tcPr>
            <w:tcW w:w="2659" w:type="dxa"/>
          </w:tcPr>
          <w:p w14:paraId="5C68A31A" w14:textId="5C25A31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 xml:space="preserve"> Midterm </w:t>
            </w:r>
          </w:p>
        </w:tc>
        <w:tc>
          <w:tcPr>
            <w:tcW w:w="1308" w:type="dxa"/>
          </w:tcPr>
          <w:p w14:paraId="3ADBC64B" w14:textId="7E4EFE56"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0F1574EA"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Scaling laws demo  </w:t>
            </w:r>
          </w:p>
          <w:p w14:paraId="528E0EC7" w14:textId="71A75103" w:rsidR="006518C3" w:rsidRDefault="006518C3" w:rsidP="7CA065D3">
            <w:pPr>
              <w:rPr>
                <w:rFonts w:ascii="Aptos" w:eastAsia="Aptos" w:hAnsi="Aptos" w:cs="Aptos"/>
                <w:color w:val="000000" w:themeColor="text1"/>
              </w:rPr>
            </w:pPr>
          </w:p>
        </w:tc>
        <w:tc>
          <w:tcPr>
            <w:tcW w:w="2312" w:type="dxa"/>
          </w:tcPr>
          <w:p w14:paraId="299B1445" w14:textId="4AF689D5"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05127CEE" w14:textId="77777777" w:rsidTr="006518C3">
        <w:trPr>
          <w:trHeight w:val="300"/>
          <w:jc w:val="center"/>
        </w:trPr>
        <w:tc>
          <w:tcPr>
            <w:tcW w:w="988" w:type="dxa"/>
          </w:tcPr>
          <w:p w14:paraId="655D45D3" w14:textId="082A27B9"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9</w:t>
            </w:r>
          </w:p>
        </w:tc>
        <w:tc>
          <w:tcPr>
            <w:tcW w:w="2659" w:type="dxa"/>
          </w:tcPr>
          <w:p w14:paraId="20F017A3" w14:textId="56F804B2"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Complexity and ecosystem attributes</w:t>
            </w:r>
          </w:p>
        </w:tc>
        <w:tc>
          <w:tcPr>
            <w:tcW w:w="1308" w:type="dxa"/>
          </w:tcPr>
          <w:p w14:paraId="36927EB4" w14:textId="6F129348"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5029EAE5"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Break into groups – discuss approaches</w:t>
            </w:r>
          </w:p>
          <w:p w14:paraId="5D999AFF" w14:textId="1C52FBCC" w:rsidR="006518C3" w:rsidRDefault="006518C3" w:rsidP="7CA065D3">
            <w:pPr>
              <w:rPr>
                <w:rFonts w:ascii="Aptos" w:eastAsia="Aptos" w:hAnsi="Aptos" w:cs="Aptos"/>
                <w:color w:val="000000" w:themeColor="text1"/>
              </w:rPr>
            </w:pPr>
          </w:p>
        </w:tc>
        <w:tc>
          <w:tcPr>
            <w:tcW w:w="2312" w:type="dxa"/>
          </w:tcPr>
          <w:p w14:paraId="5160841D" w14:textId="127E77B1"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7F7D32A6" w14:textId="77777777" w:rsidTr="006518C3">
        <w:trPr>
          <w:trHeight w:val="300"/>
          <w:jc w:val="center"/>
        </w:trPr>
        <w:tc>
          <w:tcPr>
            <w:tcW w:w="988" w:type="dxa"/>
          </w:tcPr>
          <w:p w14:paraId="06A43E6D" w14:textId="07B04DCB"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10</w:t>
            </w:r>
          </w:p>
        </w:tc>
        <w:tc>
          <w:tcPr>
            <w:tcW w:w="2659" w:type="dxa"/>
          </w:tcPr>
          <w:p w14:paraId="1B5D58AC" w14:textId="24A6B1E3"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 xml:space="preserve">Behavioral Ecology 1: Foraging </w:t>
            </w:r>
          </w:p>
        </w:tc>
        <w:tc>
          <w:tcPr>
            <w:tcW w:w="1308" w:type="dxa"/>
          </w:tcPr>
          <w:p w14:paraId="5FF0ABE3" w14:textId="18C2771A"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75936E2F"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In-class assisted group work</w:t>
            </w:r>
          </w:p>
          <w:p w14:paraId="217B0F8A" w14:textId="2D137EB5" w:rsidR="006518C3" w:rsidRDefault="006518C3" w:rsidP="7CA065D3">
            <w:pPr>
              <w:rPr>
                <w:rFonts w:ascii="Aptos" w:eastAsia="Aptos" w:hAnsi="Aptos" w:cs="Aptos"/>
                <w:color w:val="000000" w:themeColor="text1"/>
              </w:rPr>
            </w:pPr>
          </w:p>
        </w:tc>
        <w:tc>
          <w:tcPr>
            <w:tcW w:w="2312" w:type="dxa"/>
          </w:tcPr>
          <w:p w14:paraId="3DBF912D" w14:textId="34B8FABB"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6BEA65EE" w14:textId="77777777" w:rsidTr="006518C3">
        <w:trPr>
          <w:trHeight w:val="300"/>
          <w:jc w:val="center"/>
        </w:trPr>
        <w:tc>
          <w:tcPr>
            <w:tcW w:w="988" w:type="dxa"/>
          </w:tcPr>
          <w:p w14:paraId="3C778B1E" w14:textId="1E38D3C5"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11</w:t>
            </w:r>
          </w:p>
        </w:tc>
        <w:tc>
          <w:tcPr>
            <w:tcW w:w="2659" w:type="dxa"/>
          </w:tcPr>
          <w:p w14:paraId="0D0C2D53" w14:textId="7520AF3C"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 xml:space="preserve">Foraging and habitat use </w:t>
            </w:r>
          </w:p>
        </w:tc>
        <w:tc>
          <w:tcPr>
            <w:tcW w:w="1308" w:type="dxa"/>
          </w:tcPr>
          <w:p w14:paraId="075F69FA" w14:textId="3777B1C6"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272984D5"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In-class assisted group work</w:t>
            </w:r>
          </w:p>
          <w:p w14:paraId="12895BFF" w14:textId="2EFEFDE8" w:rsidR="006518C3" w:rsidRDefault="006518C3" w:rsidP="7CA065D3">
            <w:pPr>
              <w:rPr>
                <w:rFonts w:ascii="Aptos" w:eastAsia="Aptos" w:hAnsi="Aptos" w:cs="Aptos"/>
                <w:color w:val="000000" w:themeColor="text1"/>
              </w:rPr>
            </w:pPr>
          </w:p>
        </w:tc>
        <w:tc>
          <w:tcPr>
            <w:tcW w:w="2312" w:type="dxa"/>
          </w:tcPr>
          <w:p w14:paraId="09863E0E" w14:textId="41C84F56"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41B1C405" w14:textId="77777777" w:rsidTr="006518C3">
        <w:trPr>
          <w:trHeight w:val="300"/>
          <w:jc w:val="center"/>
        </w:trPr>
        <w:tc>
          <w:tcPr>
            <w:tcW w:w="988" w:type="dxa"/>
          </w:tcPr>
          <w:p w14:paraId="6C041121" w14:textId="742FB818"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12</w:t>
            </w:r>
          </w:p>
        </w:tc>
        <w:tc>
          <w:tcPr>
            <w:tcW w:w="2659" w:type="dxa"/>
          </w:tcPr>
          <w:p w14:paraId="052C9A94" w14:textId="4C3F9020"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Territoriality and allelopathy</w:t>
            </w:r>
          </w:p>
        </w:tc>
        <w:tc>
          <w:tcPr>
            <w:tcW w:w="1308" w:type="dxa"/>
          </w:tcPr>
          <w:p w14:paraId="00B99FC0" w14:textId="3C986478" w:rsidR="00F77E6E" w:rsidRPr="7CA065D3" w:rsidRDefault="008B64DB" w:rsidP="7CA065D3">
            <w:pPr>
              <w:rPr>
                <w:rFonts w:ascii="Calibri" w:eastAsia="Calibri" w:hAnsi="Calibri" w:cs="Calibri"/>
                <w:color w:val="000000" w:themeColor="text1"/>
              </w:rPr>
            </w:pPr>
            <w:r>
              <w:rPr>
                <w:rFonts w:ascii="Calibri" w:eastAsia="Calibri" w:hAnsi="Calibri" w:cs="Calibri"/>
                <w:color w:val="000000" w:themeColor="text1"/>
              </w:rPr>
              <w:t>TBD</w:t>
            </w:r>
          </w:p>
        </w:tc>
        <w:tc>
          <w:tcPr>
            <w:tcW w:w="2077" w:type="dxa"/>
          </w:tcPr>
          <w:p w14:paraId="00645960" w14:textId="77777777" w:rsidR="00F77E6E" w:rsidRDefault="00F77E6E" w:rsidP="7CA065D3">
            <w:pPr>
              <w:rPr>
                <w:rFonts w:ascii="Calibri" w:eastAsia="Calibri" w:hAnsi="Calibri" w:cs="Calibri"/>
                <w:color w:val="000000" w:themeColor="text1"/>
              </w:rPr>
            </w:pPr>
            <w:r w:rsidRPr="7CA065D3">
              <w:rPr>
                <w:rFonts w:ascii="Calibri" w:eastAsia="Calibri" w:hAnsi="Calibri" w:cs="Calibri"/>
                <w:color w:val="000000" w:themeColor="text1"/>
              </w:rPr>
              <w:t>Problem sharing and troubleshooting</w:t>
            </w:r>
          </w:p>
          <w:p w14:paraId="3A41B029" w14:textId="7271543D" w:rsidR="006518C3" w:rsidRDefault="006518C3" w:rsidP="7CA065D3"/>
        </w:tc>
        <w:tc>
          <w:tcPr>
            <w:tcW w:w="2312" w:type="dxa"/>
          </w:tcPr>
          <w:p w14:paraId="096C3BC7" w14:textId="384CF14F"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5CE1C63D" w14:textId="77777777" w:rsidTr="006518C3">
        <w:trPr>
          <w:trHeight w:val="300"/>
          <w:jc w:val="center"/>
        </w:trPr>
        <w:tc>
          <w:tcPr>
            <w:tcW w:w="988" w:type="dxa"/>
          </w:tcPr>
          <w:p w14:paraId="14BA122E" w14:textId="732928D1"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13</w:t>
            </w:r>
          </w:p>
        </w:tc>
        <w:tc>
          <w:tcPr>
            <w:tcW w:w="2659" w:type="dxa"/>
          </w:tcPr>
          <w:p w14:paraId="04188A1F" w14:textId="70F40EC1"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Dispersal and spatial effects</w:t>
            </w:r>
          </w:p>
        </w:tc>
        <w:tc>
          <w:tcPr>
            <w:tcW w:w="1308" w:type="dxa"/>
          </w:tcPr>
          <w:p w14:paraId="5DA7D577" w14:textId="7AD24494"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4435B30F"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 In-class assisted group work</w:t>
            </w:r>
          </w:p>
          <w:p w14:paraId="26DE6335" w14:textId="6C323854" w:rsidR="006518C3" w:rsidRDefault="006518C3" w:rsidP="7CA065D3">
            <w:pPr>
              <w:rPr>
                <w:rFonts w:ascii="Aptos" w:eastAsia="Aptos" w:hAnsi="Aptos" w:cs="Aptos"/>
                <w:color w:val="000000" w:themeColor="text1"/>
              </w:rPr>
            </w:pPr>
          </w:p>
        </w:tc>
        <w:tc>
          <w:tcPr>
            <w:tcW w:w="2312" w:type="dxa"/>
          </w:tcPr>
          <w:p w14:paraId="7738ED1F" w14:textId="1626A1F3"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193EFA88" w14:textId="77777777" w:rsidTr="006518C3">
        <w:trPr>
          <w:trHeight w:val="300"/>
          <w:jc w:val="center"/>
        </w:trPr>
        <w:tc>
          <w:tcPr>
            <w:tcW w:w="988" w:type="dxa"/>
          </w:tcPr>
          <w:p w14:paraId="0B94BDC3" w14:textId="6A85EA46"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14</w:t>
            </w:r>
          </w:p>
        </w:tc>
        <w:tc>
          <w:tcPr>
            <w:tcW w:w="2659" w:type="dxa"/>
          </w:tcPr>
          <w:p w14:paraId="6E1EC29A"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Population growth, regulation, oscillations and chaos (oh my!)</w:t>
            </w:r>
          </w:p>
          <w:p w14:paraId="5641FBE0" w14:textId="0DBAA8B9" w:rsidR="006518C3" w:rsidRDefault="006518C3" w:rsidP="7CA065D3">
            <w:pPr>
              <w:rPr>
                <w:rFonts w:ascii="Aptos" w:eastAsia="Aptos" w:hAnsi="Aptos" w:cs="Aptos"/>
                <w:color w:val="000000" w:themeColor="text1"/>
              </w:rPr>
            </w:pPr>
          </w:p>
        </w:tc>
        <w:tc>
          <w:tcPr>
            <w:tcW w:w="1308" w:type="dxa"/>
          </w:tcPr>
          <w:p w14:paraId="643E1A45" w14:textId="631FB26E"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137828DB" w14:textId="0AB531A4"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In-class assisted group work</w:t>
            </w:r>
          </w:p>
        </w:tc>
        <w:tc>
          <w:tcPr>
            <w:tcW w:w="2312" w:type="dxa"/>
          </w:tcPr>
          <w:p w14:paraId="6D259049" w14:textId="58CF40DB"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r w:rsidR="00F77E6E" w14:paraId="5BADA9D4" w14:textId="77777777" w:rsidTr="006518C3">
        <w:trPr>
          <w:trHeight w:val="300"/>
          <w:jc w:val="center"/>
        </w:trPr>
        <w:tc>
          <w:tcPr>
            <w:tcW w:w="988" w:type="dxa"/>
          </w:tcPr>
          <w:p w14:paraId="4DB846BC" w14:textId="5C2694AA" w:rsidR="00F77E6E" w:rsidRDefault="00F77E6E" w:rsidP="7CA065D3">
            <w:pPr>
              <w:jc w:val="right"/>
              <w:rPr>
                <w:rFonts w:ascii="Aptos" w:eastAsia="Aptos" w:hAnsi="Aptos" w:cs="Aptos"/>
                <w:color w:val="000000" w:themeColor="text1"/>
              </w:rPr>
            </w:pPr>
            <w:r w:rsidRPr="7CA065D3">
              <w:rPr>
                <w:rFonts w:ascii="Aptos" w:eastAsia="Aptos" w:hAnsi="Aptos" w:cs="Aptos"/>
                <w:color w:val="000000" w:themeColor="text1"/>
              </w:rPr>
              <w:t>15</w:t>
            </w:r>
          </w:p>
        </w:tc>
        <w:tc>
          <w:tcPr>
            <w:tcW w:w="2659" w:type="dxa"/>
          </w:tcPr>
          <w:p w14:paraId="3B4A8541" w14:textId="52A201E4" w:rsidR="00F77E6E" w:rsidRDefault="00F77E6E" w:rsidP="7CA065D3">
            <w:r w:rsidRPr="7CA065D3">
              <w:rPr>
                <w:rFonts w:ascii="Aptos" w:eastAsia="Aptos" w:hAnsi="Aptos" w:cs="Aptos"/>
                <w:color w:val="000000" w:themeColor="text1"/>
              </w:rPr>
              <w:t>Symposium</w:t>
            </w:r>
          </w:p>
        </w:tc>
        <w:tc>
          <w:tcPr>
            <w:tcW w:w="1308" w:type="dxa"/>
          </w:tcPr>
          <w:p w14:paraId="5CA6F6CA" w14:textId="21F80972" w:rsidR="00F77E6E" w:rsidRPr="7CA065D3"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c>
          <w:tcPr>
            <w:tcW w:w="2077" w:type="dxa"/>
          </w:tcPr>
          <w:p w14:paraId="3BCB1673" w14:textId="77777777" w:rsidR="00F77E6E" w:rsidRDefault="00F77E6E" w:rsidP="7CA065D3">
            <w:pPr>
              <w:rPr>
                <w:rFonts w:ascii="Aptos" w:eastAsia="Aptos" w:hAnsi="Aptos" w:cs="Aptos"/>
                <w:color w:val="000000" w:themeColor="text1"/>
              </w:rPr>
            </w:pPr>
            <w:r w:rsidRPr="7CA065D3">
              <w:rPr>
                <w:rFonts w:ascii="Aptos" w:eastAsia="Aptos" w:hAnsi="Aptos" w:cs="Aptos"/>
                <w:color w:val="000000" w:themeColor="text1"/>
              </w:rPr>
              <w:t>Final - Synthesis discussion and updating conceptual map</w:t>
            </w:r>
          </w:p>
          <w:p w14:paraId="313A5DD6" w14:textId="3D82C406" w:rsidR="006518C3" w:rsidRDefault="006518C3" w:rsidP="7CA065D3">
            <w:pPr>
              <w:rPr>
                <w:rFonts w:ascii="Aptos" w:eastAsia="Aptos" w:hAnsi="Aptos" w:cs="Aptos"/>
                <w:color w:val="000000" w:themeColor="text1"/>
              </w:rPr>
            </w:pPr>
          </w:p>
        </w:tc>
        <w:tc>
          <w:tcPr>
            <w:tcW w:w="2312" w:type="dxa"/>
          </w:tcPr>
          <w:p w14:paraId="4067F633" w14:textId="438F25DE" w:rsidR="00F77E6E" w:rsidRDefault="008B64DB" w:rsidP="7CA065D3">
            <w:pPr>
              <w:rPr>
                <w:rFonts w:ascii="Aptos" w:eastAsia="Aptos" w:hAnsi="Aptos" w:cs="Aptos"/>
                <w:color w:val="000000" w:themeColor="text1"/>
              </w:rPr>
            </w:pPr>
            <w:r>
              <w:rPr>
                <w:rFonts w:ascii="Calibri" w:eastAsia="Calibri" w:hAnsi="Calibri" w:cs="Calibri"/>
                <w:color w:val="000000" w:themeColor="text1"/>
              </w:rPr>
              <w:t>TBD</w:t>
            </w:r>
          </w:p>
        </w:tc>
      </w:tr>
    </w:tbl>
    <w:p w14:paraId="3097B4C5" w14:textId="5B8AB469" w:rsidR="7CA065D3" w:rsidRDefault="7CA065D3" w:rsidP="7CA065D3">
      <w:pPr>
        <w:tabs>
          <w:tab w:val="right" w:pos="2880"/>
        </w:tabs>
        <w:spacing w:after="120"/>
        <w:rPr>
          <w:rFonts w:cs="Times New Roman"/>
        </w:rPr>
      </w:pPr>
    </w:p>
    <w:p w14:paraId="7ACD4E72" w14:textId="0AD51BC3" w:rsidR="00C062EF" w:rsidRDefault="00C062EF" w:rsidP="00C062EF">
      <w:pPr>
        <w:pStyle w:val="Heading1"/>
      </w:pPr>
      <w:r>
        <w:lastRenderedPageBreak/>
        <w:t xml:space="preserve">Required Policies </w:t>
      </w:r>
    </w:p>
    <w:p w14:paraId="314754D7" w14:textId="77777777" w:rsidR="00C062EF" w:rsidRDefault="00C062EF" w:rsidP="00C062EF">
      <w:pPr>
        <w:pStyle w:val="Heading2"/>
      </w:pPr>
      <w:r>
        <w:t>1</w:t>
      </w:r>
      <w:r w:rsidRPr="007D3D4F">
        <w:t>. Students</w:t>
      </w:r>
      <w:r>
        <w:t xml:space="preserve"> Requiring Accommodation</w:t>
      </w:r>
    </w:p>
    <w:p w14:paraId="188E8577" w14:textId="77777777" w:rsidR="00C062EF" w:rsidRDefault="00C062EF" w:rsidP="00C062EF">
      <w:r>
        <w:t xml:space="preserve">Students with disabilities who experience learning barriers and would like to request academic accommodations should connect with the disability Resource Center by visiting </w:t>
      </w:r>
      <w:hyperlink r:id="rId6" w:history="1">
        <w:r w:rsidRPr="004B2088">
          <w:rPr>
            <w:rStyle w:val="Hyperlink"/>
          </w:rPr>
          <w:t>https://disability.ufl.edu/students/get-started/</w:t>
        </w:r>
      </w:hyperlink>
      <w:r>
        <w:t>. It is important for students to share their accommodation letter with their instructor and discuss their access needs, as early as possible in the semester.</w:t>
      </w:r>
    </w:p>
    <w:p w14:paraId="2EA2D30A" w14:textId="77777777" w:rsidR="00C062EF" w:rsidRPr="007D3D4F" w:rsidRDefault="00C062EF" w:rsidP="00C062EF">
      <w:pPr>
        <w:pStyle w:val="Heading2"/>
      </w:pPr>
      <w:r>
        <w:t>2</w:t>
      </w:r>
      <w:r w:rsidRPr="007D3D4F">
        <w:t>. UF Evaluations Process</w:t>
      </w:r>
    </w:p>
    <w:p w14:paraId="3786F1F0" w14:textId="77777777" w:rsidR="00C062EF" w:rsidRDefault="00C062EF" w:rsidP="00C062EF">
      <w:r w:rsidRPr="00EC67C3">
        <w:t xml:space="preserve">Students are expected to provide professional and respectful feedback on the quality of instruction in this course by completing course evaluations online via </w:t>
      </w:r>
      <w:proofErr w:type="spellStart"/>
      <w:r w:rsidRPr="00EC67C3">
        <w:t>GatorEvals</w:t>
      </w:r>
      <w:proofErr w:type="spellEnd"/>
      <w:r w:rsidRPr="00EC67C3">
        <w:t xml:space="preserve">. Guidance on how to give feedback in a professional and respectful manner is available </w:t>
      </w:r>
      <w:r>
        <w:t xml:space="preserve">at </w:t>
      </w:r>
      <w:hyperlink r:id="rId7" w:history="1">
        <w:r w:rsidRPr="0077378D">
          <w:rPr>
            <w:rStyle w:val="Hyperlink"/>
          </w:rPr>
          <w:t>https://gatorevals.aa.ufl.edu/students/</w:t>
        </w:r>
      </w:hyperlink>
      <w:r w:rsidRPr="00EC67C3">
        <w:t xml:space="preserve">. Students will be notified when the evaluation period </w:t>
      </w:r>
      <w:proofErr w:type="gramStart"/>
      <w:r w:rsidRPr="00EC67C3">
        <w:t>opens, and</w:t>
      </w:r>
      <w:proofErr w:type="gramEnd"/>
      <w:r w:rsidRPr="00EC67C3">
        <w:t xml:space="preserve"> can complete evaluations through the email they receive from </w:t>
      </w:r>
      <w:proofErr w:type="spellStart"/>
      <w:r w:rsidRPr="00EC67C3">
        <w:t>GatorEvals</w:t>
      </w:r>
      <w:proofErr w:type="spellEnd"/>
      <w:r w:rsidRPr="00EC67C3">
        <w:t xml:space="preserve">, in their Canvas course menu under </w:t>
      </w:r>
      <w:proofErr w:type="spellStart"/>
      <w:r w:rsidRPr="00EC67C3">
        <w:t>GatorEvals</w:t>
      </w:r>
      <w:proofErr w:type="spellEnd"/>
      <w:r w:rsidRPr="00EC67C3">
        <w:t>, or via </w:t>
      </w:r>
      <w:hyperlink r:id="rId8" w:history="1">
        <w:r w:rsidRPr="00EC67C3">
          <w:rPr>
            <w:rStyle w:val="Hyperlink"/>
          </w:rPr>
          <w:t>https://ufl.bluera.com/ufl/</w:t>
        </w:r>
      </w:hyperlink>
      <w:r w:rsidRPr="00EC67C3">
        <w:t>. Summaries of course evaluation results are available to students at </w:t>
      </w:r>
      <w:hyperlink r:id="rId9" w:history="1">
        <w:r w:rsidRPr="00EC67C3">
          <w:rPr>
            <w:rStyle w:val="Hyperlink"/>
          </w:rPr>
          <w:t>https://gatorevals.aa.ufl.edu/public-results/</w:t>
        </w:r>
      </w:hyperlink>
      <w:r w:rsidRPr="00EC67C3">
        <w:t>.</w:t>
      </w:r>
    </w:p>
    <w:p w14:paraId="4EFC4CB8" w14:textId="77777777" w:rsidR="00C062EF" w:rsidRPr="007D3D4F" w:rsidRDefault="00C062EF" w:rsidP="00C062EF">
      <w:pPr>
        <w:pStyle w:val="Heading2"/>
      </w:pPr>
      <w:r>
        <w:t>3</w:t>
      </w:r>
      <w:r w:rsidRPr="007D3D4F">
        <w:t xml:space="preserve">. University Honesty Policy </w:t>
      </w:r>
    </w:p>
    <w:p w14:paraId="40180217" w14:textId="77777777" w:rsidR="00C062EF" w:rsidRDefault="00C062EF" w:rsidP="00C062EF">
      <w:r w:rsidRPr="00F86B71">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w:t>
      </w:r>
      <w:hyperlink r:id="rId10" w:history="1">
        <w:r w:rsidRPr="004744B3">
          <w:rPr>
            <w:rStyle w:val="Hyperlink"/>
          </w:rPr>
          <w:t>https://www.dso.ufl.edu/sccr/process/student-conduct-honor-code/</w:t>
        </w:r>
      </w:hyperlink>
      <w:r>
        <w:t xml:space="preserve"> </w:t>
      </w:r>
      <w:r w:rsidRPr="00F86B71">
        <w:t xml:space="preserve">)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  </w:t>
      </w:r>
    </w:p>
    <w:p w14:paraId="7414FEA0" w14:textId="77777777" w:rsidR="00C062EF" w:rsidRPr="007D3D4F" w:rsidRDefault="00C062EF" w:rsidP="00C062EF">
      <w:pPr>
        <w:pStyle w:val="Heading2"/>
      </w:pPr>
      <w:r>
        <w:t>4</w:t>
      </w:r>
      <w:r w:rsidRPr="007D3D4F">
        <w:t>. Counseling and Wellness Center</w:t>
      </w:r>
    </w:p>
    <w:p w14:paraId="64792AE5" w14:textId="77777777" w:rsidR="00C062EF" w:rsidRDefault="00C062EF" w:rsidP="00C062EF">
      <w:r w:rsidRPr="00F86B71">
        <w:t>Contact information for the Counseling and Wellness Center:</w:t>
      </w:r>
      <w:r>
        <w:t xml:space="preserve"> </w:t>
      </w:r>
      <w:hyperlink r:id="rId11" w:history="1">
        <w:r w:rsidRPr="00DF2355">
          <w:rPr>
            <w:rStyle w:val="Hyperlink"/>
          </w:rPr>
          <w:t>https://counseling.ufl.edu/</w:t>
        </w:r>
      </w:hyperlink>
      <w:r w:rsidRPr="00F86B71">
        <w:t xml:space="preserve">, 392-1575; and the University Police Department: 392-1111 or 9-1-1 for emergencies.  </w:t>
      </w:r>
    </w:p>
    <w:p w14:paraId="176F8D41" w14:textId="77777777" w:rsidR="00C062EF" w:rsidRPr="007D3D4F" w:rsidRDefault="00C062EF" w:rsidP="00C062EF">
      <w:pPr>
        <w:pStyle w:val="Heading2"/>
      </w:pPr>
      <w:r>
        <w:t>5</w:t>
      </w:r>
      <w:r w:rsidRPr="007D3D4F">
        <w:t xml:space="preserve">. The Writing Studio </w:t>
      </w:r>
    </w:p>
    <w:p w14:paraId="2D8AA5F8" w14:textId="77777777" w:rsidR="00C062EF" w:rsidRDefault="00C062EF" w:rsidP="00C062EF">
      <w:r>
        <w:t xml:space="preserve">The writing studio is committed to helping University of Florida students meet their academic and professional goals by becoming better writers. Visit the writing studio online at </w:t>
      </w:r>
      <w:hyperlink r:id="rId12" w:history="1">
        <w:r w:rsidRPr="009776E2">
          <w:rPr>
            <w:rStyle w:val="Hyperlink"/>
          </w:rPr>
          <w:t>http://writing.ufl.edu/writing-studio/</w:t>
        </w:r>
      </w:hyperlink>
      <w:r>
        <w:t xml:space="preserve"> or in 2215 Turlington Hall for one-on-one consultations and workshops.</w:t>
      </w:r>
    </w:p>
    <w:p w14:paraId="3B0DED24" w14:textId="77777777" w:rsidR="00C062EF" w:rsidRDefault="00C062EF" w:rsidP="00C062EF"/>
    <w:p w14:paraId="204F53F3" w14:textId="77777777" w:rsidR="00C062EF" w:rsidRDefault="00C062EF" w:rsidP="00C062EF">
      <w:pPr>
        <w:pStyle w:val="Heading2"/>
      </w:pPr>
      <w:r>
        <w:lastRenderedPageBreak/>
        <w:t>6</w:t>
      </w:r>
      <w:r w:rsidRPr="007D3D4F">
        <w:t xml:space="preserve">. </w:t>
      </w:r>
      <w:r>
        <w:t>Policy on Recordings</w:t>
      </w:r>
    </w:p>
    <w:p w14:paraId="1E544AE6" w14:textId="77777777" w:rsidR="00C062EF" w:rsidRDefault="00C062EF" w:rsidP="00C062EF">
      <w:r w:rsidRPr="00953743">
        <w:t xml:space="preserve">Our class sessions may be audio visually recorded for students in the class to </w:t>
      </w:r>
      <w:proofErr w:type="gramStart"/>
      <w:r w:rsidRPr="00953743">
        <w:t>refer back</w:t>
      </w:r>
      <w:proofErr w:type="gramEnd"/>
      <w:r w:rsidRPr="00953743">
        <w:t xml:space="preserve"> and for enrolled students who are unable to attend live.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 The chat will not be recorded or shared. As in all courses, unauthorized recording and unauthorized sharing of recorded materials is prohibited</w:t>
      </w:r>
      <w:r>
        <w:t>.</w:t>
      </w:r>
    </w:p>
    <w:p w14:paraId="69188F34" w14:textId="77777777" w:rsidR="00AA1902" w:rsidRDefault="00AA1902"/>
    <w:sectPr w:rsidR="00AA19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4D"/>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D549D"/>
    <w:multiLevelType w:val="hybridMultilevel"/>
    <w:tmpl w:val="5FCC893C"/>
    <w:lvl w:ilvl="0" w:tplc="25A45BA0">
      <w:start w:val="1"/>
      <w:numFmt w:val="bullet"/>
      <w:lvlText w:val=""/>
      <w:lvlJc w:val="left"/>
      <w:pPr>
        <w:ind w:left="720" w:hanging="360"/>
      </w:pPr>
      <w:rPr>
        <w:rFonts w:ascii="Symbol" w:hAnsi="Symbol" w:hint="default"/>
      </w:rPr>
    </w:lvl>
    <w:lvl w:ilvl="1" w:tplc="9CEEEB1E">
      <w:start w:val="1"/>
      <w:numFmt w:val="bullet"/>
      <w:lvlText w:val="o"/>
      <w:lvlJc w:val="left"/>
      <w:pPr>
        <w:ind w:left="1440" w:hanging="360"/>
      </w:pPr>
      <w:rPr>
        <w:rFonts w:ascii="Courier New" w:hAnsi="Courier New" w:hint="default"/>
      </w:rPr>
    </w:lvl>
    <w:lvl w:ilvl="2" w:tplc="9C026EA6">
      <w:start w:val="1"/>
      <w:numFmt w:val="bullet"/>
      <w:lvlText w:val=""/>
      <w:lvlJc w:val="left"/>
      <w:pPr>
        <w:ind w:left="2160" w:hanging="360"/>
      </w:pPr>
      <w:rPr>
        <w:rFonts w:ascii="Wingdings" w:hAnsi="Wingdings" w:hint="default"/>
      </w:rPr>
    </w:lvl>
    <w:lvl w:ilvl="3" w:tplc="55424D06">
      <w:start w:val="1"/>
      <w:numFmt w:val="bullet"/>
      <w:lvlText w:val=""/>
      <w:lvlJc w:val="left"/>
      <w:pPr>
        <w:ind w:left="2880" w:hanging="360"/>
      </w:pPr>
      <w:rPr>
        <w:rFonts w:ascii="Symbol" w:hAnsi="Symbol" w:hint="default"/>
      </w:rPr>
    </w:lvl>
    <w:lvl w:ilvl="4" w:tplc="74428BAA">
      <w:start w:val="1"/>
      <w:numFmt w:val="bullet"/>
      <w:lvlText w:val="o"/>
      <w:lvlJc w:val="left"/>
      <w:pPr>
        <w:ind w:left="3600" w:hanging="360"/>
      </w:pPr>
      <w:rPr>
        <w:rFonts w:ascii="Courier New" w:hAnsi="Courier New" w:hint="default"/>
      </w:rPr>
    </w:lvl>
    <w:lvl w:ilvl="5" w:tplc="80BE8836">
      <w:start w:val="1"/>
      <w:numFmt w:val="bullet"/>
      <w:lvlText w:val=""/>
      <w:lvlJc w:val="left"/>
      <w:pPr>
        <w:ind w:left="4320" w:hanging="360"/>
      </w:pPr>
      <w:rPr>
        <w:rFonts w:ascii="Wingdings" w:hAnsi="Wingdings" w:hint="default"/>
      </w:rPr>
    </w:lvl>
    <w:lvl w:ilvl="6" w:tplc="1B82BD94">
      <w:start w:val="1"/>
      <w:numFmt w:val="bullet"/>
      <w:lvlText w:val=""/>
      <w:lvlJc w:val="left"/>
      <w:pPr>
        <w:ind w:left="5040" w:hanging="360"/>
      </w:pPr>
      <w:rPr>
        <w:rFonts w:ascii="Symbol" w:hAnsi="Symbol" w:hint="default"/>
      </w:rPr>
    </w:lvl>
    <w:lvl w:ilvl="7" w:tplc="4F609D8E">
      <w:start w:val="1"/>
      <w:numFmt w:val="bullet"/>
      <w:lvlText w:val="o"/>
      <w:lvlJc w:val="left"/>
      <w:pPr>
        <w:ind w:left="5760" w:hanging="360"/>
      </w:pPr>
      <w:rPr>
        <w:rFonts w:ascii="Courier New" w:hAnsi="Courier New" w:hint="default"/>
      </w:rPr>
    </w:lvl>
    <w:lvl w:ilvl="8" w:tplc="C0922160">
      <w:start w:val="1"/>
      <w:numFmt w:val="bullet"/>
      <w:lvlText w:val=""/>
      <w:lvlJc w:val="left"/>
      <w:pPr>
        <w:ind w:left="6480" w:hanging="360"/>
      </w:pPr>
      <w:rPr>
        <w:rFonts w:ascii="Wingdings" w:hAnsi="Wingdings" w:hint="default"/>
      </w:rPr>
    </w:lvl>
  </w:abstractNum>
  <w:abstractNum w:abstractNumId="1" w15:restartNumberingAfterBreak="0">
    <w:nsid w:val="286207BA"/>
    <w:multiLevelType w:val="hybridMultilevel"/>
    <w:tmpl w:val="B79EB3B6"/>
    <w:lvl w:ilvl="0" w:tplc="EE9C9442">
      <w:start w:val="1"/>
      <w:numFmt w:val="bullet"/>
      <w:lvlText w:val=""/>
      <w:lvlJc w:val="left"/>
      <w:pPr>
        <w:ind w:left="720" w:hanging="360"/>
      </w:pPr>
      <w:rPr>
        <w:rFonts w:ascii="Symbol" w:hAnsi="Symbol" w:hint="default"/>
      </w:rPr>
    </w:lvl>
    <w:lvl w:ilvl="1" w:tplc="1096CE8A">
      <w:start w:val="1"/>
      <w:numFmt w:val="bullet"/>
      <w:lvlText w:val="o"/>
      <w:lvlJc w:val="left"/>
      <w:pPr>
        <w:ind w:left="1440" w:hanging="360"/>
      </w:pPr>
      <w:rPr>
        <w:rFonts w:ascii="Courier New" w:hAnsi="Courier New" w:hint="default"/>
      </w:rPr>
    </w:lvl>
    <w:lvl w:ilvl="2" w:tplc="311EACD2">
      <w:start w:val="1"/>
      <w:numFmt w:val="bullet"/>
      <w:lvlText w:val=""/>
      <w:lvlJc w:val="left"/>
      <w:pPr>
        <w:ind w:left="2160" w:hanging="360"/>
      </w:pPr>
      <w:rPr>
        <w:rFonts w:ascii="Wingdings" w:hAnsi="Wingdings" w:hint="default"/>
      </w:rPr>
    </w:lvl>
    <w:lvl w:ilvl="3" w:tplc="84D2F0E2">
      <w:start w:val="1"/>
      <w:numFmt w:val="bullet"/>
      <w:lvlText w:val=""/>
      <w:lvlJc w:val="left"/>
      <w:pPr>
        <w:ind w:left="2880" w:hanging="360"/>
      </w:pPr>
      <w:rPr>
        <w:rFonts w:ascii="Symbol" w:hAnsi="Symbol" w:hint="default"/>
      </w:rPr>
    </w:lvl>
    <w:lvl w:ilvl="4" w:tplc="A05C5FF2">
      <w:start w:val="1"/>
      <w:numFmt w:val="bullet"/>
      <w:lvlText w:val="o"/>
      <w:lvlJc w:val="left"/>
      <w:pPr>
        <w:ind w:left="3600" w:hanging="360"/>
      </w:pPr>
      <w:rPr>
        <w:rFonts w:ascii="Courier New" w:hAnsi="Courier New" w:hint="default"/>
      </w:rPr>
    </w:lvl>
    <w:lvl w:ilvl="5" w:tplc="3C2A7E10">
      <w:start w:val="1"/>
      <w:numFmt w:val="bullet"/>
      <w:lvlText w:val=""/>
      <w:lvlJc w:val="left"/>
      <w:pPr>
        <w:ind w:left="4320" w:hanging="360"/>
      </w:pPr>
      <w:rPr>
        <w:rFonts w:ascii="Wingdings" w:hAnsi="Wingdings" w:hint="default"/>
      </w:rPr>
    </w:lvl>
    <w:lvl w:ilvl="6" w:tplc="A8A664BC">
      <w:start w:val="1"/>
      <w:numFmt w:val="bullet"/>
      <w:lvlText w:val=""/>
      <w:lvlJc w:val="left"/>
      <w:pPr>
        <w:ind w:left="5040" w:hanging="360"/>
      </w:pPr>
      <w:rPr>
        <w:rFonts w:ascii="Symbol" w:hAnsi="Symbol" w:hint="default"/>
      </w:rPr>
    </w:lvl>
    <w:lvl w:ilvl="7" w:tplc="15D86036">
      <w:start w:val="1"/>
      <w:numFmt w:val="bullet"/>
      <w:lvlText w:val="o"/>
      <w:lvlJc w:val="left"/>
      <w:pPr>
        <w:ind w:left="5760" w:hanging="360"/>
      </w:pPr>
      <w:rPr>
        <w:rFonts w:ascii="Courier New" w:hAnsi="Courier New" w:hint="default"/>
      </w:rPr>
    </w:lvl>
    <w:lvl w:ilvl="8" w:tplc="90F8083E">
      <w:start w:val="1"/>
      <w:numFmt w:val="bullet"/>
      <w:lvlText w:val=""/>
      <w:lvlJc w:val="left"/>
      <w:pPr>
        <w:ind w:left="6480" w:hanging="360"/>
      </w:pPr>
      <w:rPr>
        <w:rFonts w:ascii="Wingdings" w:hAnsi="Wingdings" w:hint="default"/>
      </w:rPr>
    </w:lvl>
  </w:abstractNum>
  <w:abstractNum w:abstractNumId="2" w15:restartNumberingAfterBreak="0">
    <w:nsid w:val="2F03985F"/>
    <w:multiLevelType w:val="hybridMultilevel"/>
    <w:tmpl w:val="499093EC"/>
    <w:lvl w:ilvl="0" w:tplc="5350B00C">
      <w:start w:val="1"/>
      <w:numFmt w:val="bullet"/>
      <w:lvlText w:val=""/>
      <w:lvlJc w:val="left"/>
      <w:pPr>
        <w:ind w:left="720" w:hanging="360"/>
      </w:pPr>
      <w:rPr>
        <w:rFonts w:ascii="Symbol" w:hAnsi="Symbol" w:hint="default"/>
      </w:rPr>
    </w:lvl>
    <w:lvl w:ilvl="1" w:tplc="4B5C9E24">
      <w:start w:val="1"/>
      <w:numFmt w:val="bullet"/>
      <w:lvlText w:val="o"/>
      <w:lvlJc w:val="left"/>
      <w:pPr>
        <w:ind w:left="1440" w:hanging="360"/>
      </w:pPr>
      <w:rPr>
        <w:rFonts w:ascii="Courier New" w:hAnsi="Courier New" w:hint="default"/>
      </w:rPr>
    </w:lvl>
    <w:lvl w:ilvl="2" w:tplc="73306F18">
      <w:start w:val="1"/>
      <w:numFmt w:val="bullet"/>
      <w:lvlText w:val=""/>
      <w:lvlJc w:val="left"/>
      <w:pPr>
        <w:ind w:left="2160" w:hanging="360"/>
      </w:pPr>
      <w:rPr>
        <w:rFonts w:ascii="Wingdings" w:hAnsi="Wingdings" w:hint="default"/>
      </w:rPr>
    </w:lvl>
    <w:lvl w:ilvl="3" w:tplc="4EC66DE8">
      <w:start w:val="1"/>
      <w:numFmt w:val="bullet"/>
      <w:lvlText w:val=""/>
      <w:lvlJc w:val="left"/>
      <w:pPr>
        <w:ind w:left="2880" w:hanging="360"/>
      </w:pPr>
      <w:rPr>
        <w:rFonts w:ascii="Symbol" w:hAnsi="Symbol" w:hint="default"/>
      </w:rPr>
    </w:lvl>
    <w:lvl w:ilvl="4" w:tplc="C528016E">
      <w:start w:val="1"/>
      <w:numFmt w:val="bullet"/>
      <w:lvlText w:val="o"/>
      <w:lvlJc w:val="left"/>
      <w:pPr>
        <w:ind w:left="3600" w:hanging="360"/>
      </w:pPr>
      <w:rPr>
        <w:rFonts w:ascii="Courier New" w:hAnsi="Courier New" w:hint="default"/>
      </w:rPr>
    </w:lvl>
    <w:lvl w:ilvl="5" w:tplc="281C2C34">
      <w:start w:val="1"/>
      <w:numFmt w:val="bullet"/>
      <w:lvlText w:val=""/>
      <w:lvlJc w:val="left"/>
      <w:pPr>
        <w:ind w:left="4320" w:hanging="360"/>
      </w:pPr>
      <w:rPr>
        <w:rFonts w:ascii="Wingdings" w:hAnsi="Wingdings" w:hint="default"/>
      </w:rPr>
    </w:lvl>
    <w:lvl w:ilvl="6" w:tplc="3E1ABB18">
      <w:start w:val="1"/>
      <w:numFmt w:val="bullet"/>
      <w:lvlText w:val=""/>
      <w:lvlJc w:val="left"/>
      <w:pPr>
        <w:ind w:left="5040" w:hanging="360"/>
      </w:pPr>
      <w:rPr>
        <w:rFonts w:ascii="Symbol" w:hAnsi="Symbol" w:hint="default"/>
      </w:rPr>
    </w:lvl>
    <w:lvl w:ilvl="7" w:tplc="F9B40A06">
      <w:start w:val="1"/>
      <w:numFmt w:val="bullet"/>
      <w:lvlText w:val="o"/>
      <w:lvlJc w:val="left"/>
      <w:pPr>
        <w:ind w:left="5760" w:hanging="360"/>
      </w:pPr>
      <w:rPr>
        <w:rFonts w:ascii="Courier New" w:hAnsi="Courier New" w:hint="default"/>
      </w:rPr>
    </w:lvl>
    <w:lvl w:ilvl="8" w:tplc="0BF2A594">
      <w:start w:val="1"/>
      <w:numFmt w:val="bullet"/>
      <w:lvlText w:val=""/>
      <w:lvlJc w:val="left"/>
      <w:pPr>
        <w:ind w:left="6480" w:hanging="360"/>
      </w:pPr>
      <w:rPr>
        <w:rFonts w:ascii="Wingdings" w:hAnsi="Wingdings" w:hint="default"/>
      </w:rPr>
    </w:lvl>
  </w:abstractNum>
  <w:abstractNum w:abstractNumId="3" w15:restartNumberingAfterBreak="0">
    <w:nsid w:val="3C956721"/>
    <w:multiLevelType w:val="hybridMultilevel"/>
    <w:tmpl w:val="7DF6D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7917A"/>
    <w:multiLevelType w:val="hybridMultilevel"/>
    <w:tmpl w:val="BB787168"/>
    <w:lvl w:ilvl="0" w:tplc="2896807E">
      <w:start w:val="1"/>
      <w:numFmt w:val="bullet"/>
      <w:lvlText w:val=""/>
      <w:lvlJc w:val="left"/>
      <w:pPr>
        <w:ind w:left="720" w:hanging="360"/>
      </w:pPr>
      <w:rPr>
        <w:rFonts w:ascii="Symbol" w:hAnsi="Symbol" w:hint="default"/>
      </w:rPr>
    </w:lvl>
    <w:lvl w:ilvl="1" w:tplc="DC3EAEFA">
      <w:start w:val="1"/>
      <w:numFmt w:val="bullet"/>
      <w:lvlText w:val="o"/>
      <w:lvlJc w:val="left"/>
      <w:pPr>
        <w:ind w:left="1440" w:hanging="360"/>
      </w:pPr>
      <w:rPr>
        <w:rFonts w:ascii="Courier New" w:hAnsi="Courier New" w:hint="default"/>
      </w:rPr>
    </w:lvl>
    <w:lvl w:ilvl="2" w:tplc="3DD8E8DA">
      <w:start w:val="1"/>
      <w:numFmt w:val="bullet"/>
      <w:lvlText w:val=""/>
      <w:lvlJc w:val="left"/>
      <w:pPr>
        <w:ind w:left="2160" w:hanging="360"/>
      </w:pPr>
      <w:rPr>
        <w:rFonts w:ascii="Wingdings" w:hAnsi="Wingdings" w:hint="default"/>
      </w:rPr>
    </w:lvl>
    <w:lvl w:ilvl="3" w:tplc="9CCEF0E8">
      <w:start w:val="1"/>
      <w:numFmt w:val="bullet"/>
      <w:lvlText w:val=""/>
      <w:lvlJc w:val="left"/>
      <w:pPr>
        <w:ind w:left="2880" w:hanging="360"/>
      </w:pPr>
      <w:rPr>
        <w:rFonts w:ascii="Symbol" w:hAnsi="Symbol" w:hint="default"/>
      </w:rPr>
    </w:lvl>
    <w:lvl w:ilvl="4" w:tplc="991AEAEA">
      <w:start w:val="1"/>
      <w:numFmt w:val="bullet"/>
      <w:lvlText w:val="o"/>
      <w:lvlJc w:val="left"/>
      <w:pPr>
        <w:ind w:left="3600" w:hanging="360"/>
      </w:pPr>
      <w:rPr>
        <w:rFonts w:ascii="Courier New" w:hAnsi="Courier New" w:hint="default"/>
      </w:rPr>
    </w:lvl>
    <w:lvl w:ilvl="5" w:tplc="B224ABE6">
      <w:start w:val="1"/>
      <w:numFmt w:val="bullet"/>
      <w:lvlText w:val=""/>
      <w:lvlJc w:val="left"/>
      <w:pPr>
        <w:ind w:left="4320" w:hanging="360"/>
      </w:pPr>
      <w:rPr>
        <w:rFonts w:ascii="Wingdings" w:hAnsi="Wingdings" w:hint="default"/>
      </w:rPr>
    </w:lvl>
    <w:lvl w:ilvl="6" w:tplc="4AEE19B2">
      <w:start w:val="1"/>
      <w:numFmt w:val="bullet"/>
      <w:lvlText w:val=""/>
      <w:lvlJc w:val="left"/>
      <w:pPr>
        <w:ind w:left="5040" w:hanging="360"/>
      </w:pPr>
      <w:rPr>
        <w:rFonts w:ascii="Symbol" w:hAnsi="Symbol" w:hint="default"/>
      </w:rPr>
    </w:lvl>
    <w:lvl w:ilvl="7" w:tplc="327C2FEC">
      <w:start w:val="1"/>
      <w:numFmt w:val="bullet"/>
      <w:lvlText w:val="o"/>
      <w:lvlJc w:val="left"/>
      <w:pPr>
        <w:ind w:left="5760" w:hanging="360"/>
      </w:pPr>
      <w:rPr>
        <w:rFonts w:ascii="Courier New" w:hAnsi="Courier New" w:hint="default"/>
      </w:rPr>
    </w:lvl>
    <w:lvl w:ilvl="8" w:tplc="E6E0DC72">
      <w:start w:val="1"/>
      <w:numFmt w:val="bullet"/>
      <w:lvlText w:val=""/>
      <w:lvlJc w:val="left"/>
      <w:pPr>
        <w:ind w:left="6480" w:hanging="360"/>
      </w:pPr>
      <w:rPr>
        <w:rFonts w:ascii="Wingdings" w:hAnsi="Wingdings" w:hint="default"/>
      </w:rPr>
    </w:lvl>
  </w:abstractNum>
  <w:abstractNum w:abstractNumId="5" w15:restartNumberingAfterBreak="0">
    <w:nsid w:val="520CEF01"/>
    <w:multiLevelType w:val="hybridMultilevel"/>
    <w:tmpl w:val="211E0234"/>
    <w:lvl w:ilvl="0" w:tplc="076C0950">
      <w:start w:val="1"/>
      <w:numFmt w:val="bullet"/>
      <w:lvlText w:val=""/>
      <w:lvlJc w:val="left"/>
      <w:pPr>
        <w:ind w:left="1080" w:hanging="360"/>
      </w:pPr>
      <w:rPr>
        <w:rFonts w:ascii="Symbol" w:hAnsi="Symbol" w:hint="default"/>
      </w:rPr>
    </w:lvl>
    <w:lvl w:ilvl="1" w:tplc="B2C01F46">
      <w:start w:val="1"/>
      <w:numFmt w:val="bullet"/>
      <w:lvlText w:val="o"/>
      <w:lvlJc w:val="left"/>
      <w:pPr>
        <w:ind w:left="1800" w:hanging="360"/>
      </w:pPr>
      <w:rPr>
        <w:rFonts w:ascii="Courier New" w:hAnsi="Courier New" w:hint="default"/>
      </w:rPr>
    </w:lvl>
    <w:lvl w:ilvl="2" w:tplc="3634DE32">
      <w:start w:val="1"/>
      <w:numFmt w:val="bullet"/>
      <w:lvlText w:val=""/>
      <w:lvlJc w:val="left"/>
      <w:pPr>
        <w:ind w:left="2520" w:hanging="360"/>
      </w:pPr>
      <w:rPr>
        <w:rFonts w:ascii="Wingdings" w:hAnsi="Wingdings" w:hint="default"/>
      </w:rPr>
    </w:lvl>
    <w:lvl w:ilvl="3" w:tplc="B6A4463E">
      <w:start w:val="1"/>
      <w:numFmt w:val="bullet"/>
      <w:lvlText w:val=""/>
      <w:lvlJc w:val="left"/>
      <w:pPr>
        <w:ind w:left="3240" w:hanging="360"/>
      </w:pPr>
      <w:rPr>
        <w:rFonts w:ascii="Symbol" w:hAnsi="Symbol" w:hint="default"/>
      </w:rPr>
    </w:lvl>
    <w:lvl w:ilvl="4" w:tplc="36E4152A">
      <w:start w:val="1"/>
      <w:numFmt w:val="bullet"/>
      <w:lvlText w:val="o"/>
      <w:lvlJc w:val="left"/>
      <w:pPr>
        <w:ind w:left="3960" w:hanging="360"/>
      </w:pPr>
      <w:rPr>
        <w:rFonts w:ascii="Courier New" w:hAnsi="Courier New" w:hint="default"/>
      </w:rPr>
    </w:lvl>
    <w:lvl w:ilvl="5" w:tplc="7172B0D0">
      <w:start w:val="1"/>
      <w:numFmt w:val="bullet"/>
      <w:lvlText w:val=""/>
      <w:lvlJc w:val="left"/>
      <w:pPr>
        <w:ind w:left="4680" w:hanging="360"/>
      </w:pPr>
      <w:rPr>
        <w:rFonts w:ascii="Wingdings" w:hAnsi="Wingdings" w:hint="default"/>
      </w:rPr>
    </w:lvl>
    <w:lvl w:ilvl="6" w:tplc="C4CE9B4C">
      <w:start w:val="1"/>
      <w:numFmt w:val="bullet"/>
      <w:lvlText w:val=""/>
      <w:lvlJc w:val="left"/>
      <w:pPr>
        <w:ind w:left="5400" w:hanging="360"/>
      </w:pPr>
      <w:rPr>
        <w:rFonts w:ascii="Symbol" w:hAnsi="Symbol" w:hint="default"/>
      </w:rPr>
    </w:lvl>
    <w:lvl w:ilvl="7" w:tplc="2EFE2994">
      <w:start w:val="1"/>
      <w:numFmt w:val="bullet"/>
      <w:lvlText w:val="o"/>
      <w:lvlJc w:val="left"/>
      <w:pPr>
        <w:ind w:left="6120" w:hanging="360"/>
      </w:pPr>
      <w:rPr>
        <w:rFonts w:ascii="Courier New" w:hAnsi="Courier New" w:hint="default"/>
      </w:rPr>
    </w:lvl>
    <w:lvl w:ilvl="8" w:tplc="55B09AC0">
      <w:start w:val="1"/>
      <w:numFmt w:val="bullet"/>
      <w:lvlText w:val=""/>
      <w:lvlJc w:val="left"/>
      <w:pPr>
        <w:ind w:left="6840" w:hanging="360"/>
      </w:pPr>
      <w:rPr>
        <w:rFonts w:ascii="Wingdings" w:hAnsi="Wingdings" w:hint="default"/>
      </w:rPr>
    </w:lvl>
  </w:abstractNum>
  <w:abstractNum w:abstractNumId="6" w15:restartNumberingAfterBreak="0">
    <w:nsid w:val="5CAAF4B9"/>
    <w:multiLevelType w:val="hybridMultilevel"/>
    <w:tmpl w:val="1E90F7F2"/>
    <w:lvl w:ilvl="0" w:tplc="808C203E">
      <w:start w:val="1"/>
      <w:numFmt w:val="bullet"/>
      <w:lvlText w:val=""/>
      <w:lvlJc w:val="left"/>
      <w:pPr>
        <w:ind w:left="720" w:hanging="360"/>
      </w:pPr>
      <w:rPr>
        <w:rFonts w:ascii="Symbol" w:hAnsi="Symbol" w:hint="default"/>
      </w:rPr>
    </w:lvl>
    <w:lvl w:ilvl="1" w:tplc="4BB859BA">
      <w:start w:val="1"/>
      <w:numFmt w:val="bullet"/>
      <w:lvlText w:val="o"/>
      <w:lvlJc w:val="left"/>
      <w:pPr>
        <w:ind w:left="1440" w:hanging="360"/>
      </w:pPr>
      <w:rPr>
        <w:rFonts w:ascii="Courier New" w:hAnsi="Courier New" w:hint="default"/>
      </w:rPr>
    </w:lvl>
    <w:lvl w:ilvl="2" w:tplc="CF02F9DA">
      <w:start w:val="1"/>
      <w:numFmt w:val="bullet"/>
      <w:lvlText w:val=""/>
      <w:lvlJc w:val="left"/>
      <w:pPr>
        <w:ind w:left="2160" w:hanging="360"/>
      </w:pPr>
      <w:rPr>
        <w:rFonts w:ascii="Wingdings" w:hAnsi="Wingdings" w:hint="default"/>
      </w:rPr>
    </w:lvl>
    <w:lvl w:ilvl="3" w:tplc="A2FE51F4">
      <w:start w:val="1"/>
      <w:numFmt w:val="bullet"/>
      <w:lvlText w:val=""/>
      <w:lvlJc w:val="left"/>
      <w:pPr>
        <w:ind w:left="2880" w:hanging="360"/>
      </w:pPr>
      <w:rPr>
        <w:rFonts w:ascii="Symbol" w:hAnsi="Symbol" w:hint="default"/>
      </w:rPr>
    </w:lvl>
    <w:lvl w:ilvl="4" w:tplc="827C727A">
      <w:start w:val="1"/>
      <w:numFmt w:val="bullet"/>
      <w:lvlText w:val="o"/>
      <w:lvlJc w:val="left"/>
      <w:pPr>
        <w:ind w:left="3600" w:hanging="360"/>
      </w:pPr>
      <w:rPr>
        <w:rFonts w:ascii="Courier New" w:hAnsi="Courier New" w:hint="default"/>
      </w:rPr>
    </w:lvl>
    <w:lvl w:ilvl="5" w:tplc="462429DE">
      <w:start w:val="1"/>
      <w:numFmt w:val="bullet"/>
      <w:lvlText w:val=""/>
      <w:lvlJc w:val="left"/>
      <w:pPr>
        <w:ind w:left="4320" w:hanging="360"/>
      </w:pPr>
      <w:rPr>
        <w:rFonts w:ascii="Wingdings" w:hAnsi="Wingdings" w:hint="default"/>
      </w:rPr>
    </w:lvl>
    <w:lvl w:ilvl="6" w:tplc="A998DFEA">
      <w:start w:val="1"/>
      <w:numFmt w:val="bullet"/>
      <w:lvlText w:val=""/>
      <w:lvlJc w:val="left"/>
      <w:pPr>
        <w:ind w:left="5040" w:hanging="360"/>
      </w:pPr>
      <w:rPr>
        <w:rFonts w:ascii="Symbol" w:hAnsi="Symbol" w:hint="default"/>
      </w:rPr>
    </w:lvl>
    <w:lvl w:ilvl="7" w:tplc="C162424C">
      <w:start w:val="1"/>
      <w:numFmt w:val="bullet"/>
      <w:lvlText w:val="o"/>
      <w:lvlJc w:val="left"/>
      <w:pPr>
        <w:ind w:left="5760" w:hanging="360"/>
      </w:pPr>
      <w:rPr>
        <w:rFonts w:ascii="Courier New" w:hAnsi="Courier New" w:hint="default"/>
      </w:rPr>
    </w:lvl>
    <w:lvl w:ilvl="8" w:tplc="E33E422E">
      <w:start w:val="1"/>
      <w:numFmt w:val="bullet"/>
      <w:lvlText w:val=""/>
      <w:lvlJc w:val="left"/>
      <w:pPr>
        <w:ind w:left="6480" w:hanging="360"/>
      </w:pPr>
      <w:rPr>
        <w:rFonts w:ascii="Wingdings" w:hAnsi="Wingdings" w:hint="default"/>
      </w:rPr>
    </w:lvl>
  </w:abstractNum>
  <w:num w:numId="1" w16cid:durableId="798761264">
    <w:abstractNumId w:val="5"/>
  </w:num>
  <w:num w:numId="2" w16cid:durableId="1358892660">
    <w:abstractNumId w:val="1"/>
  </w:num>
  <w:num w:numId="3" w16cid:durableId="593712635">
    <w:abstractNumId w:val="0"/>
  </w:num>
  <w:num w:numId="4" w16cid:durableId="1367414049">
    <w:abstractNumId w:val="6"/>
  </w:num>
  <w:num w:numId="5" w16cid:durableId="1611208061">
    <w:abstractNumId w:val="4"/>
  </w:num>
  <w:num w:numId="6" w16cid:durableId="586042106">
    <w:abstractNumId w:val="2"/>
  </w:num>
  <w:num w:numId="7" w16cid:durableId="165217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23"/>
    <w:rsid w:val="000F2C00"/>
    <w:rsid w:val="001A7E41"/>
    <w:rsid w:val="001D06F5"/>
    <w:rsid w:val="00291C3F"/>
    <w:rsid w:val="002B4AFB"/>
    <w:rsid w:val="00444723"/>
    <w:rsid w:val="00447D16"/>
    <w:rsid w:val="00460B26"/>
    <w:rsid w:val="00530CF5"/>
    <w:rsid w:val="006518C3"/>
    <w:rsid w:val="00700334"/>
    <w:rsid w:val="007225B3"/>
    <w:rsid w:val="0073781C"/>
    <w:rsid w:val="0078560F"/>
    <w:rsid w:val="007F79F9"/>
    <w:rsid w:val="008B64DB"/>
    <w:rsid w:val="008D719C"/>
    <w:rsid w:val="008F0D5D"/>
    <w:rsid w:val="00966367"/>
    <w:rsid w:val="00AA1902"/>
    <w:rsid w:val="00AF389A"/>
    <w:rsid w:val="00B33E3F"/>
    <w:rsid w:val="00C062EF"/>
    <w:rsid w:val="00C1442D"/>
    <w:rsid w:val="00D668AF"/>
    <w:rsid w:val="00DC5F07"/>
    <w:rsid w:val="00DE238C"/>
    <w:rsid w:val="00E012E1"/>
    <w:rsid w:val="00E149BE"/>
    <w:rsid w:val="00E9D7A7"/>
    <w:rsid w:val="00EA77F2"/>
    <w:rsid w:val="00EB2C98"/>
    <w:rsid w:val="00EF25FE"/>
    <w:rsid w:val="00F502E9"/>
    <w:rsid w:val="00F77E6E"/>
    <w:rsid w:val="00FB5564"/>
    <w:rsid w:val="00FD2FD9"/>
    <w:rsid w:val="02738922"/>
    <w:rsid w:val="0438624E"/>
    <w:rsid w:val="04F527BB"/>
    <w:rsid w:val="050E9420"/>
    <w:rsid w:val="05221671"/>
    <w:rsid w:val="07316CBC"/>
    <w:rsid w:val="0774F24D"/>
    <w:rsid w:val="080A9E61"/>
    <w:rsid w:val="089229EA"/>
    <w:rsid w:val="090E8535"/>
    <w:rsid w:val="0A206F66"/>
    <w:rsid w:val="0A31E4BA"/>
    <w:rsid w:val="0AC35F9F"/>
    <w:rsid w:val="0AD92668"/>
    <w:rsid w:val="0ADB92FD"/>
    <w:rsid w:val="0B778735"/>
    <w:rsid w:val="0D0BFA00"/>
    <w:rsid w:val="0D1D0412"/>
    <w:rsid w:val="0DDE05FE"/>
    <w:rsid w:val="0E1348C9"/>
    <w:rsid w:val="0E72FB0E"/>
    <w:rsid w:val="0F06469B"/>
    <w:rsid w:val="0F1C24E0"/>
    <w:rsid w:val="11C89E75"/>
    <w:rsid w:val="13888622"/>
    <w:rsid w:val="13E35D80"/>
    <w:rsid w:val="14BBE2A1"/>
    <w:rsid w:val="156B0FB0"/>
    <w:rsid w:val="15748FEE"/>
    <w:rsid w:val="15A6FAFC"/>
    <w:rsid w:val="179A1EC6"/>
    <w:rsid w:val="18486FA4"/>
    <w:rsid w:val="188F093F"/>
    <w:rsid w:val="18E288FD"/>
    <w:rsid w:val="19FF4DBB"/>
    <w:rsid w:val="1A893D36"/>
    <w:rsid w:val="1ACC68F5"/>
    <w:rsid w:val="1B1767B2"/>
    <w:rsid w:val="1B992F24"/>
    <w:rsid w:val="1B99B845"/>
    <w:rsid w:val="1CA0A129"/>
    <w:rsid w:val="1D3FF697"/>
    <w:rsid w:val="1D8B8192"/>
    <w:rsid w:val="1D95BA83"/>
    <w:rsid w:val="1F47F438"/>
    <w:rsid w:val="1F8BE055"/>
    <w:rsid w:val="2013EA4F"/>
    <w:rsid w:val="20E82555"/>
    <w:rsid w:val="2102035F"/>
    <w:rsid w:val="2126176E"/>
    <w:rsid w:val="214DEC43"/>
    <w:rsid w:val="22954901"/>
    <w:rsid w:val="2443209A"/>
    <w:rsid w:val="26F1AD3A"/>
    <w:rsid w:val="2775BCD5"/>
    <w:rsid w:val="279BCE47"/>
    <w:rsid w:val="27B95E3A"/>
    <w:rsid w:val="2811C58F"/>
    <w:rsid w:val="29BFA779"/>
    <w:rsid w:val="2AD548DE"/>
    <w:rsid w:val="2AE9C53B"/>
    <w:rsid w:val="2B364814"/>
    <w:rsid w:val="2B98D018"/>
    <w:rsid w:val="2BF72338"/>
    <w:rsid w:val="2C9BC45B"/>
    <w:rsid w:val="2CC22391"/>
    <w:rsid w:val="2D0942E5"/>
    <w:rsid w:val="2DCFA98D"/>
    <w:rsid w:val="2DE4A973"/>
    <w:rsid w:val="304A6507"/>
    <w:rsid w:val="30643E18"/>
    <w:rsid w:val="30CAFE8F"/>
    <w:rsid w:val="30F54A77"/>
    <w:rsid w:val="3292ADCE"/>
    <w:rsid w:val="32D1F342"/>
    <w:rsid w:val="32E24434"/>
    <w:rsid w:val="32F93A89"/>
    <w:rsid w:val="342EE71C"/>
    <w:rsid w:val="34CAABD9"/>
    <w:rsid w:val="34E0E5F2"/>
    <w:rsid w:val="34F295BA"/>
    <w:rsid w:val="359845CB"/>
    <w:rsid w:val="36469C4F"/>
    <w:rsid w:val="367BA72D"/>
    <w:rsid w:val="367DB14A"/>
    <w:rsid w:val="367E0BB3"/>
    <w:rsid w:val="36C3DE82"/>
    <w:rsid w:val="36DE4567"/>
    <w:rsid w:val="39AF072A"/>
    <w:rsid w:val="3A751B3C"/>
    <w:rsid w:val="3BE6E093"/>
    <w:rsid w:val="3C11EBF1"/>
    <w:rsid w:val="3CEBCF5E"/>
    <w:rsid w:val="3E0E2222"/>
    <w:rsid w:val="3E8F3FDE"/>
    <w:rsid w:val="3FBFD8F8"/>
    <w:rsid w:val="4214D212"/>
    <w:rsid w:val="4357BF4B"/>
    <w:rsid w:val="45545E0D"/>
    <w:rsid w:val="45A36EA4"/>
    <w:rsid w:val="4603BF97"/>
    <w:rsid w:val="465BCE08"/>
    <w:rsid w:val="46D9D96F"/>
    <w:rsid w:val="471ADC3B"/>
    <w:rsid w:val="484A5378"/>
    <w:rsid w:val="487F5680"/>
    <w:rsid w:val="49A31904"/>
    <w:rsid w:val="4A183D58"/>
    <w:rsid w:val="4A5EB77D"/>
    <w:rsid w:val="4AED41F6"/>
    <w:rsid w:val="4BA3BF01"/>
    <w:rsid w:val="4BE8E4E0"/>
    <w:rsid w:val="4D9C6436"/>
    <w:rsid w:val="4DC51C1C"/>
    <w:rsid w:val="4E508354"/>
    <w:rsid w:val="4E817A31"/>
    <w:rsid w:val="4FDA0F71"/>
    <w:rsid w:val="500131A6"/>
    <w:rsid w:val="5001EC85"/>
    <w:rsid w:val="50D08BFA"/>
    <w:rsid w:val="519E0262"/>
    <w:rsid w:val="52307F40"/>
    <w:rsid w:val="5249BBFF"/>
    <w:rsid w:val="526317B4"/>
    <w:rsid w:val="526B6622"/>
    <w:rsid w:val="5292C371"/>
    <w:rsid w:val="52CC458E"/>
    <w:rsid w:val="539F8349"/>
    <w:rsid w:val="542970A8"/>
    <w:rsid w:val="54950645"/>
    <w:rsid w:val="5563760A"/>
    <w:rsid w:val="56154815"/>
    <w:rsid w:val="563D83BB"/>
    <w:rsid w:val="565B87D4"/>
    <w:rsid w:val="57E88408"/>
    <w:rsid w:val="580E28CA"/>
    <w:rsid w:val="581F5C4D"/>
    <w:rsid w:val="583255D1"/>
    <w:rsid w:val="583C7CAA"/>
    <w:rsid w:val="58F66CE0"/>
    <w:rsid w:val="5946CCD5"/>
    <w:rsid w:val="5CA7230E"/>
    <w:rsid w:val="5CB980AF"/>
    <w:rsid w:val="5D07D49A"/>
    <w:rsid w:val="5D16BEA0"/>
    <w:rsid w:val="5D7A94C4"/>
    <w:rsid w:val="5DE17A78"/>
    <w:rsid w:val="5E443774"/>
    <w:rsid w:val="5F1AB65A"/>
    <w:rsid w:val="5F7F5A34"/>
    <w:rsid w:val="5FBC6E91"/>
    <w:rsid w:val="60B2A399"/>
    <w:rsid w:val="63618F94"/>
    <w:rsid w:val="644380A8"/>
    <w:rsid w:val="647A2E35"/>
    <w:rsid w:val="6509116C"/>
    <w:rsid w:val="653965D0"/>
    <w:rsid w:val="65B42A60"/>
    <w:rsid w:val="65B4CE30"/>
    <w:rsid w:val="65F7776F"/>
    <w:rsid w:val="66F1BA69"/>
    <w:rsid w:val="67A63392"/>
    <w:rsid w:val="6B637329"/>
    <w:rsid w:val="6BF4B389"/>
    <w:rsid w:val="6CCB954D"/>
    <w:rsid w:val="6D395EB4"/>
    <w:rsid w:val="6D5CA2CF"/>
    <w:rsid w:val="6DA2CAF6"/>
    <w:rsid w:val="6E993947"/>
    <w:rsid w:val="6EF4CD27"/>
    <w:rsid w:val="6F76F3CA"/>
    <w:rsid w:val="6FAC49EC"/>
    <w:rsid w:val="705A3839"/>
    <w:rsid w:val="706BB42C"/>
    <w:rsid w:val="708B99DB"/>
    <w:rsid w:val="70974B36"/>
    <w:rsid w:val="70998A51"/>
    <w:rsid w:val="70A02332"/>
    <w:rsid w:val="7209C7B2"/>
    <w:rsid w:val="7239DE21"/>
    <w:rsid w:val="72544E3E"/>
    <w:rsid w:val="73CE7434"/>
    <w:rsid w:val="7461B605"/>
    <w:rsid w:val="7505A755"/>
    <w:rsid w:val="75ACFD92"/>
    <w:rsid w:val="762913BF"/>
    <w:rsid w:val="766922FB"/>
    <w:rsid w:val="76EE701B"/>
    <w:rsid w:val="77C90211"/>
    <w:rsid w:val="78182548"/>
    <w:rsid w:val="78ACE9E9"/>
    <w:rsid w:val="78EBE7F2"/>
    <w:rsid w:val="79922A78"/>
    <w:rsid w:val="7A329436"/>
    <w:rsid w:val="7A7AA71E"/>
    <w:rsid w:val="7BB13A33"/>
    <w:rsid w:val="7C2183D0"/>
    <w:rsid w:val="7C6B1C77"/>
    <w:rsid w:val="7CA065D3"/>
    <w:rsid w:val="7D44B875"/>
    <w:rsid w:val="7E9CFCC5"/>
    <w:rsid w:val="7F04E673"/>
    <w:rsid w:val="7F8D58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3788"/>
  <w15:chartTrackingRefBased/>
  <w15:docId w15:val="{9499D235-6EC2-4F68-985E-66F820C3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2EF"/>
    <w:pPr>
      <w:keepNext/>
      <w:keepLines/>
      <w:pBdr>
        <w:bottom w:val="single" w:sz="4" w:space="1" w:color="1F3864" w:themeColor="accent1" w:themeShade="80"/>
      </w:pBdr>
      <w:spacing w:before="360" w:after="120"/>
      <w:outlineLvl w:val="0"/>
    </w:pPr>
    <w:rPr>
      <w:rFonts w:ascii="Rockwell" w:eastAsiaTheme="majorEastAsia" w:hAnsi="Rockwell" w:cstheme="majorBidi"/>
      <w:color w:val="1F3864" w:themeColor="accent1" w:themeShade="80"/>
      <w:kern w:val="0"/>
      <w:sz w:val="40"/>
      <w:szCs w:val="40"/>
      <w14:ligatures w14:val="none"/>
    </w:rPr>
  </w:style>
  <w:style w:type="paragraph" w:styleId="Heading2">
    <w:name w:val="heading 2"/>
    <w:basedOn w:val="Normal"/>
    <w:next w:val="Normal"/>
    <w:link w:val="Heading2Char"/>
    <w:uiPriority w:val="9"/>
    <w:unhideWhenUsed/>
    <w:qFormat/>
    <w:rsid w:val="00C062EF"/>
    <w:pPr>
      <w:keepNext/>
      <w:keepLines/>
      <w:spacing w:before="360" w:after="120"/>
      <w:outlineLvl w:val="1"/>
    </w:pPr>
    <w:rPr>
      <w:rFonts w:ascii="Rockwell" w:eastAsiaTheme="majorEastAsia" w:hAnsi="Rockwell" w:cstheme="majorBidi"/>
      <w:b/>
      <w:color w:val="595959" w:themeColor="text1" w:themeTint="A6"/>
      <w:kern w:val="0"/>
      <w:sz w:val="28"/>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1902"/>
    <w:rPr>
      <w:color w:val="0563C1" w:themeColor="hyperlink"/>
      <w:u w:val="single"/>
    </w:rPr>
  </w:style>
  <w:style w:type="character" w:customStyle="1" w:styleId="Heading1Char">
    <w:name w:val="Heading 1 Char"/>
    <w:basedOn w:val="DefaultParagraphFont"/>
    <w:link w:val="Heading1"/>
    <w:uiPriority w:val="9"/>
    <w:rsid w:val="00C062EF"/>
    <w:rPr>
      <w:rFonts w:ascii="Rockwell" w:eastAsiaTheme="majorEastAsia" w:hAnsi="Rockwell" w:cstheme="majorBidi"/>
      <w:color w:val="1F3864" w:themeColor="accent1" w:themeShade="80"/>
      <w:kern w:val="0"/>
      <w:sz w:val="40"/>
      <w:szCs w:val="40"/>
      <w14:ligatures w14:val="none"/>
    </w:rPr>
  </w:style>
  <w:style w:type="character" w:customStyle="1" w:styleId="Heading2Char">
    <w:name w:val="Heading 2 Char"/>
    <w:basedOn w:val="DefaultParagraphFont"/>
    <w:link w:val="Heading2"/>
    <w:uiPriority w:val="9"/>
    <w:rsid w:val="00C062EF"/>
    <w:rPr>
      <w:rFonts w:ascii="Rockwell" w:eastAsiaTheme="majorEastAsia" w:hAnsi="Rockwell" w:cstheme="majorBidi"/>
      <w:b/>
      <w:color w:val="595959" w:themeColor="text1" w:themeTint="A6"/>
      <w:kern w:val="0"/>
      <w:sz w:val="28"/>
      <w:szCs w:val="36"/>
      <w14:ligatures w14:val="none"/>
    </w:rPr>
  </w:style>
  <w:style w:type="paragraph" w:styleId="ListParagraph">
    <w:name w:val="List Paragraph"/>
    <w:basedOn w:val="Normal"/>
    <w:uiPriority w:val="34"/>
    <w:qFormat/>
    <w:rsid w:val="00C1442D"/>
    <w:pPr>
      <w:ind w:left="720"/>
      <w:contextualSpacing/>
    </w:pPr>
  </w:style>
  <w:style w:type="character" w:styleId="CommentReference">
    <w:name w:val="annotation reference"/>
    <w:basedOn w:val="DefaultParagraphFont"/>
    <w:uiPriority w:val="99"/>
    <w:semiHidden/>
    <w:unhideWhenUsed/>
    <w:rsid w:val="00291C3F"/>
    <w:rPr>
      <w:sz w:val="16"/>
      <w:szCs w:val="16"/>
    </w:rPr>
  </w:style>
  <w:style w:type="paragraph" w:styleId="CommentText">
    <w:name w:val="annotation text"/>
    <w:basedOn w:val="Normal"/>
    <w:link w:val="CommentTextChar"/>
    <w:uiPriority w:val="99"/>
    <w:semiHidden/>
    <w:unhideWhenUsed/>
    <w:rsid w:val="00291C3F"/>
    <w:rPr>
      <w:sz w:val="20"/>
      <w:szCs w:val="20"/>
    </w:rPr>
  </w:style>
  <w:style w:type="character" w:customStyle="1" w:styleId="CommentTextChar">
    <w:name w:val="Comment Text Char"/>
    <w:basedOn w:val="DefaultParagraphFont"/>
    <w:link w:val="CommentText"/>
    <w:uiPriority w:val="99"/>
    <w:semiHidden/>
    <w:rsid w:val="00291C3F"/>
    <w:rPr>
      <w:sz w:val="20"/>
      <w:szCs w:val="20"/>
    </w:rPr>
  </w:style>
  <w:style w:type="paragraph" w:styleId="CommentSubject">
    <w:name w:val="annotation subject"/>
    <w:basedOn w:val="CommentText"/>
    <w:next w:val="CommentText"/>
    <w:link w:val="CommentSubjectChar"/>
    <w:uiPriority w:val="99"/>
    <w:semiHidden/>
    <w:unhideWhenUsed/>
    <w:rsid w:val="00291C3F"/>
    <w:rPr>
      <w:b/>
      <w:bCs/>
    </w:rPr>
  </w:style>
  <w:style w:type="character" w:customStyle="1" w:styleId="CommentSubjectChar">
    <w:name w:val="Comment Subject Char"/>
    <w:basedOn w:val="CommentTextChar"/>
    <w:link w:val="CommentSubject"/>
    <w:uiPriority w:val="99"/>
    <w:semiHidden/>
    <w:rsid w:val="00291C3F"/>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6518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l.bluera.com/u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orevals.aa.ufl.edu/students/" TargetMode="External"/><Relationship Id="rId12" Type="http://schemas.openxmlformats.org/officeDocument/2006/relationships/hyperlink" Target="http://writing.ufl.edu/writing-stud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sability.ufl.edu/students/get-started/" TargetMode="External"/><Relationship Id="rId11" Type="http://schemas.openxmlformats.org/officeDocument/2006/relationships/hyperlink" Target="https://counseling.ufl.edu/" TargetMode="External"/><Relationship Id="rId5" Type="http://schemas.openxmlformats.org/officeDocument/2006/relationships/hyperlink" Target="https://datacarpentry.github.io/R-ecology-lesson/" TargetMode="External"/><Relationship Id="rId10" Type="http://schemas.openxmlformats.org/officeDocument/2006/relationships/hyperlink" Target="https://www.dso.ufl.edu/sccr/process/student-conduct-honor-code/" TargetMode="External"/><Relationship Id="rId4" Type="http://schemas.openxmlformats.org/officeDocument/2006/relationships/webSettings" Target="webSettings.xml"/><Relationship Id="rId9" Type="http://schemas.openxmlformats.org/officeDocument/2006/relationships/hyperlink" Target="https://gatorevals.aa.ufl.edu/public-resul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Leibold</dc:creator>
  <cp:keywords/>
  <dc:description/>
  <cp:lastModifiedBy>M Leibold</cp:lastModifiedBy>
  <cp:revision>4</cp:revision>
  <dcterms:created xsi:type="dcterms:W3CDTF">2026-01-07T14:40:00Z</dcterms:created>
  <dcterms:modified xsi:type="dcterms:W3CDTF">2026-01-07T15:18:00Z</dcterms:modified>
</cp:coreProperties>
</file>